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FB" w:rsidRPr="00A51CBC" w:rsidRDefault="00AB1CFB" w:rsidP="00AB1CFB">
      <w:pPr>
        <w:pStyle w:val="NormalWeb"/>
        <w:spacing w:line="360" w:lineRule="auto"/>
        <w:jc w:val="both"/>
        <w:rPr>
          <w:rFonts w:ascii="Arial" w:hAnsi="Arial" w:cs="Arial"/>
          <w:sz w:val="8"/>
        </w:rPr>
      </w:pPr>
    </w:p>
    <w:p w:rsidR="00AB1CFB" w:rsidRDefault="00AB1CFB" w:rsidP="00AB1CFB"/>
    <w:p w:rsidR="00AB1CFB" w:rsidRPr="00C857D9" w:rsidRDefault="00AB1CFB" w:rsidP="00AB1CF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Tabla 2</w:t>
      </w:r>
      <w:r w:rsidRPr="00C857D9">
        <w:rPr>
          <w:rFonts w:ascii="Arial" w:hAnsi="Arial" w:cs="Arial"/>
          <w:b/>
          <w:sz w:val="24"/>
        </w:rPr>
        <w:t>. Plataformas empleadas en la Secuenciación de Siguiente Generación (NGS).</w:t>
      </w:r>
    </w:p>
    <w:p w:rsidR="00AB1CFB" w:rsidRDefault="00AB1CFB" w:rsidP="00AB1CFB">
      <w:pPr>
        <w:jc w:val="center"/>
        <w:rPr>
          <w:rFonts w:ascii="Arial" w:hAnsi="Arial" w:cs="Arial"/>
          <w:sz w:val="24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1241"/>
        <w:gridCol w:w="1471"/>
        <w:gridCol w:w="993"/>
        <w:gridCol w:w="1271"/>
        <w:gridCol w:w="976"/>
        <w:gridCol w:w="794"/>
        <w:gridCol w:w="1023"/>
        <w:gridCol w:w="1285"/>
      </w:tblGrid>
      <w:tr w:rsidR="00AB1CFB" w:rsidRPr="00FB0E4D" w:rsidTr="00BB3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:rsidR="00AB1CFB" w:rsidRPr="00FB0E4D" w:rsidRDefault="00AB1CFB" w:rsidP="00BB3DF2">
            <w:pPr>
              <w:jc w:val="center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>PLATAFORMA</w:t>
            </w:r>
          </w:p>
        </w:tc>
        <w:tc>
          <w:tcPr>
            <w:tcW w:w="1464" w:type="dxa"/>
          </w:tcPr>
          <w:p w:rsidR="00AB1CFB" w:rsidRPr="00FB0E4D" w:rsidRDefault="00AB1CFB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>MÉTODO EMPLEADO</w:t>
            </w:r>
          </w:p>
        </w:tc>
        <w:tc>
          <w:tcPr>
            <w:tcW w:w="1002" w:type="dxa"/>
          </w:tcPr>
          <w:p w:rsidR="00AB1CFB" w:rsidRPr="00FB0E4D" w:rsidRDefault="00AB1CFB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>LONGITUD DE LECTURA</w:t>
            </w:r>
          </w:p>
        </w:tc>
        <w:tc>
          <w:tcPr>
            <w:tcW w:w="1281" w:type="dxa"/>
          </w:tcPr>
          <w:p w:rsidR="00AB1CFB" w:rsidRPr="00FB0E4D" w:rsidRDefault="00AB1CFB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>*ADQUISICIÓN</w:t>
            </w:r>
          </w:p>
          <w:p w:rsidR="00AB1CFB" w:rsidRPr="00FB0E4D" w:rsidRDefault="00AB1CFB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 xml:space="preserve">(Q) </w:t>
            </w:r>
          </w:p>
        </w:tc>
        <w:tc>
          <w:tcPr>
            <w:tcW w:w="987" w:type="dxa"/>
          </w:tcPr>
          <w:p w:rsidR="00AB1CFB" w:rsidRPr="00FB0E4D" w:rsidRDefault="00AB1CFB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>LECTURAS POR CORRIDA</w:t>
            </w:r>
          </w:p>
        </w:tc>
        <w:tc>
          <w:tcPr>
            <w:tcW w:w="801" w:type="dxa"/>
          </w:tcPr>
          <w:p w:rsidR="00AB1CFB" w:rsidRPr="00FB0E4D" w:rsidRDefault="00AB1CFB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>COSTO POR 1 MILLÓN DE BASES (**$)</w:t>
            </w:r>
          </w:p>
        </w:tc>
        <w:tc>
          <w:tcPr>
            <w:tcW w:w="1018" w:type="dxa"/>
          </w:tcPr>
          <w:p w:rsidR="00AB1CFB" w:rsidRPr="00FB0E4D" w:rsidRDefault="00AB1CFB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 xml:space="preserve">VENTAJAS </w:t>
            </w:r>
          </w:p>
        </w:tc>
        <w:tc>
          <w:tcPr>
            <w:tcW w:w="1248" w:type="dxa"/>
          </w:tcPr>
          <w:p w:rsidR="00AB1CFB" w:rsidRPr="00FB0E4D" w:rsidRDefault="00AB1CFB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20"/>
              </w:rPr>
            </w:pPr>
            <w:r w:rsidRPr="00FB0E4D">
              <w:rPr>
                <w:rFonts w:cs="Arial"/>
                <w:b w:val="0"/>
                <w:sz w:val="16"/>
                <w:szCs w:val="20"/>
              </w:rPr>
              <w:t>DESVENTAJAS</w:t>
            </w:r>
          </w:p>
        </w:tc>
      </w:tr>
      <w:tr w:rsidR="00AB1CFB" w:rsidRPr="00FB0E4D" w:rsidTr="00BB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:rsidR="00AB1CFB" w:rsidRPr="00FB0E4D" w:rsidRDefault="00AB1CFB" w:rsidP="00BB3DF2">
            <w:pPr>
              <w:jc w:val="center"/>
              <w:rPr>
                <w:rFonts w:asciiTheme="majorHAnsi" w:hAnsiTheme="majorHAnsi" w:cs="Arial"/>
                <w:b w:val="0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454 GS FLX (Roche)</w:t>
            </w:r>
          </w:p>
        </w:tc>
        <w:tc>
          <w:tcPr>
            <w:tcW w:w="1464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Pirosencuenciación</w:t>
            </w:r>
            <w:proofErr w:type="spellEnd"/>
          </w:p>
        </w:tc>
        <w:tc>
          <w:tcPr>
            <w:tcW w:w="1002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700 </w:t>
            </w: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pb</w:t>
            </w:r>
            <w:proofErr w:type="spellEnd"/>
          </w:p>
        </w:tc>
        <w:tc>
          <w:tcPr>
            <w:tcW w:w="1281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Q &gt; 30</w:t>
            </w:r>
          </w:p>
        </w:tc>
        <w:tc>
          <w:tcPr>
            <w:tcW w:w="987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1 millón</w:t>
            </w:r>
          </w:p>
        </w:tc>
        <w:tc>
          <w:tcPr>
            <w:tcW w:w="801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$ 10</w:t>
            </w:r>
          </w:p>
        </w:tc>
        <w:tc>
          <w:tcPr>
            <w:tcW w:w="1018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Es rápido y buena capacidad de lectura</w:t>
            </w:r>
          </w:p>
        </w:tc>
        <w:tc>
          <w:tcPr>
            <w:tcW w:w="1248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Corridas caras, errores por </w:t>
            </w: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homopolímeros</w:t>
            </w:r>
            <w:proofErr w:type="spellEnd"/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 y bajo rendimiento</w:t>
            </w:r>
          </w:p>
        </w:tc>
      </w:tr>
      <w:tr w:rsidR="00AB1CFB" w:rsidRPr="00FB0E4D" w:rsidTr="00BB3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:rsidR="00AB1CFB" w:rsidRPr="00FB0E4D" w:rsidRDefault="00AB1CFB" w:rsidP="00BB3DF2">
            <w:pPr>
              <w:jc w:val="center"/>
              <w:rPr>
                <w:rFonts w:asciiTheme="majorHAnsi" w:hAnsiTheme="majorHAnsi" w:cs="Arial"/>
                <w:b w:val="0"/>
                <w:sz w:val="16"/>
                <w:szCs w:val="20"/>
              </w:rPr>
            </w:pPr>
            <w:proofErr w:type="spellStart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HiSeq</w:t>
            </w:r>
            <w:proofErr w:type="spellEnd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 xml:space="preserve"> 2000 (</w:t>
            </w:r>
            <w:proofErr w:type="spellStart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Illumina</w:t>
            </w:r>
            <w:proofErr w:type="spellEnd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)</w:t>
            </w:r>
          </w:p>
        </w:tc>
        <w:tc>
          <w:tcPr>
            <w:tcW w:w="1464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Secuenciación por síntesis</w:t>
            </w:r>
          </w:p>
        </w:tc>
        <w:tc>
          <w:tcPr>
            <w:tcW w:w="1002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50-250 </w:t>
            </w: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pb</w:t>
            </w:r>
            <w:proofErr w:type="spellEnd"/>
          </w:p>
        </w:tc>
        <w:tc>
          <w:tcPr>
            <w:tcW w:w="1281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20 &lt; Q &gt; 30</w:t>
            </w:r>
          </w:p>
        </w:tc>
        <w:tc>
          <w:tcPr>
            <w:tcW w:w="987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Más de 3 millones</w:t>
            </w:r>
          </w:p>
        </w:tc>
        <w:tc>
          <w:tcPr>
            <w:tcW w:w="801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$ 0.05-0-15</w:t>
            </w:r>
          </w:p>
        </w:tc>
        <w:tc>
          <w:tcPr>
            <w:tcW w:w="1018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Alto rendimiento</w:t>
            </w:r>
          </w:p>
        </w:tc>
        <w:tc>
          <w:tcPr>
            <w:tcW w:w="1248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Es caro, requiere altas concentraciones de DNA y lecturas cortas</w:t>
            </w:r>
          </w:p>
        </w:tc>
      </w:tr>
      <w:tr w:rsidR="00AB1CFB" w:rsidRPr="00FB0E4D" w:rsidTr="00BB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:rsidR="00AB1CFB" w:rsidRPr="00FB0E4D" w:rsidRDefault="00AB1CFB" w:rsidP="00BB3DF2">
            <w:pPr>
              <w:jc w:val="center"/>
              <w:rPr>
                <w:rFonts w:asciiTheme="majorHAnsi" w:hAnsiTheme="majorHAnsi" w:cs="Arial"/>
                <w:b w:val="0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SOLiDv4 (</w:t>
            </w:r>
            <w:proofErr w:type="spellStart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Applied</w:t>
            </w:r>
            <w:proofErr w:type="spellEnd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 xml:space="preserve"> </w:t>
            </w:r>
            <w:proofErr w:type="spellStart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Biosystems</w:t>
            </w:r>
            <w:proofErr w:type="spellEnd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)</w:t>
            </w:r>
          </w:p>
        </w:tc>
        <w:tc>
          <w:tcPr>
            <w:tcW w:w="1464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Secueciación</w:t>
            </w:r>
            <w:proofErr w:type="spellEnd"/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 por ligación</w:t>
            </w:r>
          </w:p>
        </w:tc>
        <w:tc>
          <w:tcPr>
            <w:tcW w:w="1002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35-50 </w:t>
            </w: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pb</w:t>
            </w:r>
            <w:proofErr w:type="spellEnd"/>
          </w:p>
        </w:tc>
        <w:tc>
          <w:tcPr>
            <w:tcW w:w="1281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Q &gt; 30</w:t>
            </w:r>
          </w:p>
        </w:tc>
        <w:tc>
          <w:tcPr>
            <w:tcW w:w="987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1.2 -1.4 billones</w:t>
            </w:r>
          </w:p>
        </w:tc>
        <w:tc>
          <w:tcPr>
            <w:tcW w:w="801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$ 0.13</w:t>
            </w:r>
          </w:p>
        </w:tc>
        <w:tc>
          <w:tcPr>
            <w:tcW w:w="1018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Bajo costo por base y buena adquisición</w:t>
            </w:r>
          </w:p>
        </w:tc>
        <w:tc>
          <w:tcPr>
            <w:tcW w:w="1248" w:type="dxa"/>
          </w:tcPr>
          <w:p w:rsidR="00AB1CFB" w:rsidRPr="00FB0E4D" w:rsidRDefault="00AB1CFB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Método lento, errores por secuencias </w:t>
            </w: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palindrómicas</w:t>
            </w:r>
            <w:proofErr w:type="spellEnd"/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 y lecturas cortas</w:t>
            </w:r>
          </w:p>
        </w:tc>
      </w:tr>
      <w:tr w:rsidR="00AB1CFB" w:rsidRPr="00FB0E4D" w:rsidTr="00BB3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:rsidR="00AB1CFB" w:rsidRPr="00FB0E4D" w:rsidRDefault="00AB1CFB" w:rsidP="00BB3DF2">
            <w:pPr>
              <w:jc w:val="center"/>
              <w:rPr>
                <w:rFonts w:asciiTheme="majorHAnsi" w:hAnsiTheme="majorHAnsi" w:cs="Arial"/>
                <w:b w:val="0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 xml:space="preserve">Ion </w:t>
            </w:r>
            <w:proofErr w:type="spellStart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torrent</w:t>
            </w:r>
            <w:proofErr w:type="spellEnd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 xml:space="preserve"> (</w:t>
            </w:r>
            <w:proofErr w:type="spellStart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>Life</w:t>
            </w:r>
            <w:proofErr w:type="spellEnd"/>
            <w:r w:rsidRPr="00FB0E4D">
              <w:rPr>
                <w:rFonts w:asciiTheme="majorHAnsi" w:hAnsiTheme="majorHAnsi" w:cs="Arial"/>
                <w:b w:val="0"/>
                <w:sz w:val="16"/>
                <w:szCs w:val="20"/>
              </w:rPr>
              <w:t xml:space="preserve"> Technologies)</w:t>
            </w:r>
          </w:p>
        </w:tc>
        <w:tc>
          <w:tcPr>
            <w:tcW w:w="1464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Semiconductor de iones</w:t>
            </w:r>
          </w:p>
        </w:tc>
        <w:tc>
          <w:tcPr>
            <w:tcW w:w="1002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400 </w:t>
            </w: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pb</w:t>
            </w:r>
            <w:proofErr w:type="spellEnd"/>
          </w:p>
        </w:tc>
        <w:tc>
          <w:tcPr>
            <w:tcW w:w="1281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Q = 20</w:t>
            </w:r>
          </w:p>
        </w:tc>
        <w:tc>
          <w:tcPr>
            <w:tcW w:w="987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Más de 80 millones</w:t>
            </w:r>
          </w:p>
        </w:tc>
        <w:tc>
          <w:tcPr>
            <w:tcW w:w="801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>$ 1</w:t>
            </w:r>
          </w:p>
        </w:tc>
        <w:tc>
          <w:tcPr>
            <w:tcW w:w="1018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Es rápido y equipo económico </w:t>
            </w:r>
          </w:p>
        </w:tc>
        <w:tc>
          <w:tcPr>
            <w:tcW w:w="1248" w:type="dxa"/>
          </w:tcPr>
          <w:p w:rsidR="00AB1CFB" w:rsidRPr="00FB0E4D" w:rsidRDefault="00AB1CFB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20"/>
              </w:rPr>
            </w:pPr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Errores por </w:t>
            </w:r>
            <w:proofErr w:type="spellStart"/>
            <w:r w:rsidRPr="00FB0E4D">
              <w:rPr>
                <w:rFonts w:asciiTheme="majorHAnsi" w:hAnsiTheme="majorHAnsi" w:cs="Arial"/>
                <w:sz w:val="16"/>
                <w:szCs w:val="20"/>
              </w:rPr>
              <w:t>homopolímeros</w:t>
            </w:r>
            <w:proofErr w:type="spellEnd"/>
            <w:r w:rsidRPr="00FB0E4D">
              <w:rPr>
                <w:rFonts w:asciiTheme="majorHAnsi" w:hAnsiTheme="majorHAnsi" w:cs="Arial"/>
                <w:sz w:val="16"/>
                <w:szCs w:val="20"/>
              </w:rPr>
              <w:t xml:space="preserve"> </w:t>
            </w:r>
          </w:p>
        </w:tc>
      </w:tr>
    </w:tbl>
    <w:p w:rsidR="00AB1CFB" w:rsidRPr="00B409B8" w:rsidRDefault="00AB1CFB" w:rsidP="00AB1CFB">
      <w:pPr>
        <w:jc w:val="both"/>
        <w:rPr>
          <w:rFonts w:ascii="Arial" w:hAnsi="Arial" w:cs="Arial"/>
          <w:sz w:val="16"/>
        </w:rPr>
      </w:pPr>
      <w:r w:rsidRPr="00B409B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Por arriba de 20 es adecuado; </w:t>
      </w:r>
      <w:r w:rsidRPr="00B409B8">
        <w:rPr>
          <w:rFonts w:ascii="Arial" w:hAnsi="Arial" w:cs="Arial"/>
          <w:sz w:val="16"/>
        </w:rPr>
        <w:t xml:space="preserve">** </w:t>
      </w:r>
      <w:proofErr w:type="spellStart"/>
      <w:r w:rsidRPr="00B409B8">
        <w:rPr>
          <w:rFonts w:ascii="Arial" w:hAnsi="Arial" w:cs="Arial"/>
          <w:sz w:val="16"/>
        </w:rPr>
        <w:t>Dolares</w:t>
      </w:r>
      <w:proofErr w:type="spellEnd"/>
    </w:p>
    <w:p w:rsidR="00AB1CFB" w:rsidRPr="002D2F0A" w:rsidRDefault="00AB1CFB" w:rsidP="00AB1CFB">
      <w:pPr>
        <w:jc w:val="both"/>
        <w:rPr>
          <w:rFonts w:ascii="Arial" w:eastAsia="Times New Roman" w:hAnsi="Arial" w:cs="Arial"/>
        </w:rPr>
      </w:pPr>
    </w:p>
    <w:p w:rsidR="00A64423" w:rsidRDefault="00A64423">
      <w:bookmarkStart w:id="0" w:name="_GoBack"/>
      <w:bookmarkEnd w:id="0"/>
    </w:p>
    <w:sectPr w:rsidR="00A64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FB"/>
    <w:rsid w:val="00A64423"/>
    <w:rsid w:val="00A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CFC9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CF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1CFB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  <w:style w:type="table" w:styleId="Sombreadoclaro-nfasis1">
    <w:name w:val="Light Shading Accent 1"/>
    <w:basedOn w:val="Tablanormal"/>
    <w:uiPriority w:val="60"/>
    <w:rsid w:val="00AB1CF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CF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1CFB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  <w:style w:type="table" w:styleId="Sombreadoclaro-nfasis1">
    <w:name w:val="Light Shading Accent 1"/>
    <w:basedOn w:val="Tablanormal"/>
    <w:uiPriority w:val="60"/>
    <w:rsid w:val="00AB1CF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829</Characters>
  <Application>Microsoft Macintosh Word</Application>
  <DocSecurity>0</DocSecurity>
  <Lines>6</Lines>
  <Paragraphs>1</Paragraphs>
  <ScaleCrop>false</ScaleCrop>
  <Company>Home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Montalvo</dc:creator>
  <cp:keywords/>
  <dc:description/>
  <cp:lastModifiedBy>Ivan Garcia Montalvo</cp:lastModifiedBy>
  <cp:revision>1</cp:revision>
  <dcterms:created xsi:type="dcterms:W3CDTF">2019-03-01T15:45:00Z</dcterms:created>
  <dcterms:modified xsi:type="dcterms:W3CDTF">2019-03-01T15:46:00Z</dcterms:modified>
</cp:coreProperties>
</file>