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E83" w:rsidRDefault="00E821BD" w:rsidP="009E5ADF">
      <w:pPr>
        <w:jc w:val="center"/>
        <w:rPr>
          <w:rFonts w:ascii="Arial" w:hAnsi="Arial" w:cs="Arial"/>
        </w:rPr>
      </w:pPr>
      <w:r>
        <w:rPr>
          <w:rFonts w:ascii="Arial" w:hAnsi="Arial" w:cs="Arial"/>
        </w:rPr>
        <w:t>EFFECTIVENESS</w:t>
      </w:r>
      <w:r w:rsidR="008059AE">
        <w:rPr>
          <w:rFonts w:ascii="Arial" w:hAnsi="Arial" w:cs="Arial"/>
        </w:rPr>
        <w:t xml:space="preserve"> OF DIAGNOSTIC TESTING FOR</w:t>
      </w:r>
      <w:r w:rsidR="007B06A5" w:rsidRPr="009F65D8">
        <w:rPr>
          <w:rFonts w:ascii="Arial" w:hAnsi="Arial" w:cs="Arial"/>
        </w:rPr>
        <w:t> CERVICAL CANCER AND HUMAN PAPILLOMAVIRUS</w:t>
      </w:r>
    </w:p>
    <w:p w:rsidR="009E5ADF" w:rsidRPr="00C81690" w:rsidRDefault="009E5ADF" w:rsidP="00C81690">
      <w:pPr>
        <w:pStyle w:val="Sinespaciado"/>
        <w:jc w:val="center"/>
      </w:pPr>
      <w:r w:rsidRPr="00C81690">
        <w:t>M.C. Samperio Calderon José Eduardo</w:t>
      </w:r>
      <w:r w:rsidR="00E109D4">
        <w:t>/Mtro. Salazar Arturo</w:t>
      </w:r>
      <w:bookmarkStart w:id="0" w:name="_GoBack"/>
      <w:bookmarkEnd w:id="0"/>
    </w:p>
    <w:p w:rsidR="00C81690" w:rsidRPr="00C81690" w:rsidRDefault="00C81690" w:rsidP="00C81690">
      <w:pPr>
        <w:pStyle w:val="Sinespaciado"/>
        <w:jc w:val="center"/>
        <w:rPr>
          <w:lang w:val="en-US"/>
        </w:rPr>
      </w:pPr>
      <w:r w:rsidRPr="00C81690">
        <w:rPr>
          <w:lang w:val="en-US"/>
        </w:rPr>
        <w:t>Institute Elise Freinet</w:t>
      </w:r>
    </w:p>
    <w:p w:rsidR="00C81690" w:rsidRPr="00C81690" w:rsidRDefault="00C81690" w:rsidP="00C81690">
      <w:pPr>
        <w:pStyle w:val="Sinespaciado"/>
        <w:jc w:val="center"/>
        <w:rPr>
          <w:lang w:val="en-US"/>
        </w:rPr>
      </w:pPr>
      <w:r w:rsidRPr="00C81690">
        <w:rPr>
          <w:lang w:val="en-US"/>
        </w:rPr>
        <w:t>Av. Tamaulipas 306</w:t>
      </w:r>
    </w:p>
    <w:p w:rsidR="00C81690" w:rsidRPr="00C81690" w:rsidRDefault="00C81690" w:rsidP="00EF11DB">
      <w:pPr>
        <w:pStyle w:val="Sinespaciado"/>
        <w:jc w:val="center"/>
        <w:outlineLvl w:val="0"/>
        <w:rPr>
          <w:lang w:val="es-ES"/>
        </w:rPr>
      </w:pPr>
      <w:r w:rsidRPr="00C81690">
        <w:rPr>
          <w:lang w:val="es-ES"/>
        </w:rPr>
        <w:t>Pachuca, Gto, Mexico 42030</w:t>
      </w:r>
    </w:p>
    <w:p w:rsidR="00C81690" w:rsidRPr="00C81690" w:rsidRDefault="00C81690" w:rsidP="00EF11DB">
      <w:pPr>
        <w:pStyle w:val="Sinespaciado"/>
        <w:jc w:val="center"/>
        <w:outlineLvl w:val="0"/>
        <w:rPr>
          <w:lang w:val="es-ES"/>
        </w:rPr>
      </w:pPr>
      <w:r w:rsidRPr="00C81690">
        <w:rPr>
          <w:lang w:val="es-ES"/>
        </w:rPr>
        <w:t>771-702-88-01</w:t>
      </w:r>
    </w:p>
    <w:p w:rsidR="00C81690" w:rsidRDefault="00EE4856" w:rsidP="00EF11DB">
      <w:pPr>
        <w:pStyle w:val="Sinespaciado"/>
        <w:jc w:val="center"/>
        <w:outlineLvl w:val="0"/>
        <w:rPr>
          <w:lang w:val="es-ES"/>
        </w:rPr>
      </w:pPr>
      <w:hyperlink r:id="rId8" w:history="1">
        <w:r w:rsidR="00C81690" w:rsidRPr="00FA08FD">
          <w:rPr>
            <w:rStyle w:val="Hipervnculo"/>
            <w:lang w:val="es-ES"/>
          </w:rPr>
          <w:t>dr.eduardosamperio@hotmail.com</w:t>
        </w:r>
      </w:hyperlink>
      <w:r w:rsidR="00C81690">
        <w:rPr>
          <w:lang w:val="es-ES"/>
        </w:rPr>
        <w:t> </w:t>
      </w:r>
    </w:p>
    <w:p w:rsidR="00544D56" w:rsidRPr="00C81690" w:rsidRDefault="00544D56" w:rsidP="00EF11DB">
      <w:pPr>
        <w:pStyle w:val="Sinespaciado"/>
        <w:jc w:val="center"/>
        <w:outlineLvl w:val="0"/>
        <w:rPr>
          <w:lang w:val="es-ES"/>
        </w:rPr>
      </w:pPr>
    </w:p>
    <w:p w:rsidR="00C81690" w:rsidRPr="007A3435" w:rsidRDefault="00C81690" w:rsidP="00C81690">
      <w:pPr>
        <w:pStyle w:val="Sinespaciado"/>
        <w:rPr>
          <w:highlight w:val="yellow"/>
        </w:rPr>
      </w:pPr>
    </w:p>
    <w:p w:rsidR="00253DFF" w:rsidRDefault="009F65D8" w:rsidP="00253DFF">
      <w:pPr>
        <w:pStyle w:val="Sinespaciado"/>
        <w:rPr>
          <w:rFonts w:ascii="Arial" w:hAnsi="Arial" w:cs="Arial"/>
        </w:rPr>
      </w:pPr>
      <w:r w:rsidRPr="006F2F13">
        <w:rPr>
          <w:rFonts w:ascii="Arial" w:hAnsi="Arial" w:cs="Arial"/>
        </w:rPr>
        <w:t>ABSTRACT</w:t>
      </w:r>
    </w:p>
    <w:p w:rsidR="003A32E2" w:rsidRDefault="003A32E2" w:rsidP="00253DFF">
      <w:pPr>
        <w:pStyle w:val="Sinespaciado"/>
        <w:jc w:val="both"/>
        <w:rPr>
          <w:rFonts w:ascii="Arial" w:hAnsi="Arial" w:cs="Arial"/>
        </w:rPr>
      </w:pPr>
      <w:r w:rsidRPr="00B21CF5">
        <w:rPr>
          <w:highlight w:val="yellow"/>
        </w:rPr>
        <w:br/>
      </w:r>
      <w:r w:rsidR="00253DFF" w:rsidRPr="00253DFF">
        <w:rPr>
          <w:rFonts w:ascii="Arial" w:hAnsi="Arial" w:cs="Arial"/>
        </w:rPr>
        <w:t>Cervical cancer is one of the first 5 most common neoplasms in women in the world, over time has emerged screening tests for timely diagnosis (conventional cytology, liquid based cytology, visual inspection with acetic acid or Lugol's iodine , colposcopy ...); the tests have been perfected and even new ones have been created that allow the detection of the causative agent (human papilloma virus) such as hybridization and PCR (polymerase chain reaction), each detection tool has different sensitivity and specificity; What led me to this author made this review article through 25 reference citations to find the gold standard of screening today, explaining in a simple way the process that entails its Realization and its historical background.</w:t>
      </w:r>
    </w:p>
    <w:p w:rsidR="00253DFF" w:rsidRDefault="00253DFF" w:rsidP="00253DFF">
      <w:pPr>
        <w:pStyle w:val="Sinespaciado"/>
        <w:jc w:val="both"/>
        <w:rPr>
          <w:rFonts w:ascii="Arial" w:hAnsi="Arial" w:cs="Arial"/>
          <w:color w:val="212121"/>
          <w:shd w:val="clear" w:color="auto" w:fill="FFFFFF"/>
        </w:rPr>
      </w:pPr>
      <w:r>
        <w:br/>
      </w:r>
      <w:r>
        <w:rPr>
          <w:rFonts w:ascii="Arial" w:hAnsi="Arial" w:cs="Arial"/>
          <w:color w:val="212121"/>
          <w:shd w:val="clear" w:color="auto" w:fill="FFFFFF"/>
        </w:rPr>
        <w:t>KEYWORDS</w:t>
      </w:r>
    </w:p>
    <w:p w:rsidR="00253DFF" w:rsidRDefault="00253DFF" w:rsidP="00253DFF">
      <w:pPr>
        <w:pStyle w:val="Sinespaciado"/>
        <w:jc w:val="both"/>
        <w:rPr>
          <w:rFonts w:ascii="Arial" w:hAnsi="Arial" w:cs="Arial"/>
          <w:color w:val="212121"/>
          <w:shd w:val="clear" w:color="auto" w:fill="FFFFFF"/>
        </w:rPr>
      </w:pPr>
    </w:p>
    <w:p w:rsidR="00253DFF" w:rsidRDefault="00253DFF" w:rsidP="00253DFF">
      <w:pPr>
        <w:pStyle w:val="Sinespaciado"/>
        <w:jc w:val="both"/>
        <w:rPr>
          <w:rFonts w:ascii="Arial" w:hAnsi="Arial" w:cs="Arial"/>
          <w:color w:val="212121"/>
          <w:shd w:val="clear" w:color="auto" w:fill="FFFFFF"/>
        </w:rPr>
      </w:pPr>
      <w:r>
        <w:rPr>
          <w:rFonts w:ascii="Arial" w:hAnsi="Arial" w:cs="Arial"/>
          <w:color w:val="212121"/>
          <w:shd w:val="clear" w:color="auto" w:fill="FFFFFF"/>
        </w:rPr>
        <w:t>Cervical cancer, human papilloma virus, screening, efficacy.</w:t>
      </w:r>
    </w:p>
    <w:p w:rsidR="00E821BD" w:rsidRDefault="00E821BD" w:rsidP="00253DFF">
      <w:pPr>
        <w:pStyle w:val="Sinespaciado"/>
        <w:jc w:val="both"/>
        <w:rPr>
          <w:rFonts w:ascii="Arial" w:hAnsi="Arial" w:cs="Arial"/>
          <w:color w:val="212121"/>
          <w:shd w:val="clear" w:color="auto" w:fill="FFFFFF"/>
        </w:rPr>
      </w:pPr>
    </w:p>
    <w:p w:rsidR="00E821BD" w:rsidRPr="004A075F" w:rsidRDefault="00E821BD" w:rsidP="00E821BD">
      <w:pPr>
        <w:outlineLvl w:val="0"/>
        <w:rPr>
          <w:rFonts w:ascii="Arial" w:hAnsi="Arial" w:cs="Arial"/>
        </w:rPr>
      </w:pPr>
      <w:r w:rsidRPr="004A075F">
        <w:rPr>
          <w:rFonts w:ascii="Arial" w:hAnsi="Arial" w:cs="Arial"/>
        </w:rPr>
        <w:t>RESUMEN</w:t>
      </w:r>
    </w:p>
    <w:p w:rsidR="00E821BD" w:rsidRDefault="00E821BD" w:rsidP="00E821BD">
      <w:pPr>
        <w:jc w:val="both"/>
        <w:outlineLvl w:val="0"/>
        <w:rPr>
          <w:rFonts w:ascii="Arial" w:hAnsi="Arial" w:cs="Arial"/>
        </w:rPr>
      </w:pPr>
      <w:r w:rsidRPr="004A075F">
        <w:rPr>
          <w:rFonts w:ascii="Arial" w:hAnsi="Arial" w:cs="Arial"/>
        </w:rPr>
        <w:t>El cáncer de cuello uterino es una de las primeras 5 neoplasias más comunes en mujeres en el mundo, derivado de esto a través del tiempo han surgido pruebas de tamizaje para su diagnostico oportuno (citología convencional, citología a base liquida, inspección visual con acido acético o Lugol, colposcopia…); dichas pruebas se han perfeccionado e incluso se han creado nuevas que permiten la detección del agente causal (virus del papiloma humano) como la hibridación y PCR (reacción de cadena de polimerasa), cada herramienta de detección tiene diferente sensibilidad y especificidad; lo que llevo a este autor realizar este articulo de revisión a través de 25 citas de referencia para encontrar el GOLD STANDAR de tamizaje hoy en día, explicando de forma sencilla el proceso que con lleva su realización y sus antecedentes históricos.</w:t>
      </w:r>
    </w:p>
    <w:p w:rsidR="00E821BD" w:rsidRPr="008E1816" w:rsidRDefault="00E821BD" w:rsidP="00E821BD">
      <w:pPr>
        <w:rPr>
          <w:rFonts w:ascii="Arial" w:hAnsi="Arial" w:cs="Arial"/>
        </w:rPr>
      </w:pPr>
      <w:r w:rsidRPr="008E1816">
        <w:rPr>
          <w:rFonts w:ascii="Arial" w:hAnsi="Arial" w:cs="Arial"/>
        </w:rPr>
        <w:t>PALABRAS CLAVE</w:t>
      </w:r>
    </w:p>
    <w:p w:rsidR="00E821BD" w:rsidRPr="004A075F" w:rsidRDefault="00E821BD" w:rsidP="00E821BD">
      <w:pPr>
        <w:rPr>
          <w:rFonts w:ascii="Arial" w:hAnsi="Arial" w:cs="Arial"/>
        </w:rPr>
      </w:pPr>
      <w:r w:rsidRPr="008E1816">
        <w:rPr>
          <w:rFonts w:ascii="Arial" w:hAnsi="Arial" w:cs="Arial"/>
        </w:rPr>
        <w:t>Cáncer Cervicouterino, virus del papiloma humano, tamizaje,</w:t>
      </w:r>
      <w:r>
        <w:rPr>
          <w:rFonts w:ascii="Arial" w:hAnsi="Arial" w:cs="Arial"/>
        </w:rPr>
        <w:t xml:space="preserve"> eficacia.</w:t>
      </w:r>
    </w:p>
    <w:p w:rsidR="00E821BD" w:rsidRDefault="00E821BD" w:rsidP="00253DFF">
      <w:pPr>
        <w:pStyle w:val="Sinespaciado"/>
        <w:jc w:val="both"/>
        <w:rPr>
          <w:rFonts w:ascii="Arial" w:hAnsi="Arial" w:cs="Arial"/>
          <w:color w:val="212121"/>
          <w:shd w:val="clear" w:color="auto" w:fill="FFFFFF"/>
        </w:rPr>
      </w:pPr>
    </w:p>
    <w:p w:rsidR="00104F19" w:rsidRDefault="00104F19" w:rsidP="00253DFF">
      <w:pPr>
        <w:pStyle w:val="Sinespaciado"/>
        <w:jc w:val="both"/>
        <w:rPr>
          <w:rFonts w:ascii="Arial" w:hAnsi="Arial" w:cs="Arial"/>
          <w:color w:val="212121"/>
          <w:shd w:val="clear" w:color="auto" w:fill="FFFFFF"/>
        </w:rPr>
      </w:pPr>
    </w:p>
    <w:p w:rsidR="00104F19" w:rsidRDefault="00104F19" w:rsidP="00104F19">
      <w:pPr>
        <w:pStyle w:val="Sinespaciado"/>
        <w:jc w:val="center"/>
        <w:rPr>
          <w:rFonts w:ascii="Arial" w:hAnsi="Arial" w:cs="Arial"/>
        </w:rPr>
      </w:pPr>
      <w:r>
        <w:rPr>
          <w:rFonts w:ascii="Arial" w:hAnsi="Arial" w:cs="Arial"/>
          <w:color w:val="212121"/>
          <w:shd w:val="clear" w:color="auto" w:fill="FFFFFF"/>
        </w:rPr>
        <w:t>------------------------------------------------------------------------------------------------------------------------</w:t>
      </w:r>
    </w:p>
    <w:p w:rsidR="00253DFF" w:rsidRPr="00253DFF" w:rsidRDefault="00253DFF" w:rsidP="00253DFF">
      <w:pPr>
        <w:pStyle w:val="Sinespaciado"/>
        <w:jc w:val="both"/>
        <w:rPr>
          <w:rFonts w:ascii="Arial" w:hAnsi="Arial" w:cs="Arial"/>
        </w:rPr>
      </w:pPr>
    </w:p>
    <w:p w:rsidR="00104F19" w:rsidRDefault="00104F19" w:rsidP="00EF11DB">
      <w:pPr>
        <w:outlineLvl w:val="0"/>
        <w:rPr>
          <w:rFonts w:ascii="Arial" w:hAnsi="Arial" w:cs="Arial"/>
        </w:rPr>
        <w:sectPr w:rsidR="00104F19" w:rsidSect="001707C4">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cols w:space="708"/>
          <w:titlePg/>
          <w:docGrid w:linePitch="360"/>
        </w:sectPr>
      </w:pPr>
    </w:p>
    <w:p w:rsidR="007B06A5" w:rsidRDefault="007B06A5" w:rsidP="00E66D68">
      <w:pPr>
        <w:jc w:val="center"/>
        <w:outlineLvl w:val="0"/>
        <w:rPr>
          <w:rFonts w:ascii="Arial" w:hAnsi="Arial" w:cs="Arial"/>
        </w:rPr>
      </w:pPr>
      <w:r w:rsidRPr="009F65D8">
        <w:rPr>
          <w:rFonts w:ascii="Arial" w:hAnsi="Arial" w:cs="Arial"/>
        </w:rPr>
        <w:lastRenderedPageBreak/>
        <w:t>I</w:t>
      </w:r>
      <w:r w:rsidR="00E821BD">
        <w:rPr>
          <w:rFonts w:ascii="Arial" w:hAnsi="Arial" w:cs="Arial"/>
        </w:rPr>
        <w:t>NTRODUCTION</w:t>
      </w:r>
    </w:p>
    <w:p w:rsidR="00B21CF5" w:rsidRDefault="007B5D85" w:rsidP="007B5D85">
      <w:pPr>
        <w:pStyle w:val="Sinespaciado"/>
        <w:jc w:val="both"/>
        <w:rPr>
          <w:rFonts w:ascii="Arial" w:hAnsi="Arial" w:cs="Arial"/>
        </w:rPr>
      </w:pPr>
      <w:r w:rsidRPr="007B5D85">
        <w:rPr>
          <w:rFonts w:ascii="Arial" w:hAnsi="Arial" w:cs="Arial"/>
        </w:rPr>
        <w:t>Cervical cancer is the seventh most frequent neoplasm in the world population and the fourth most frequent among women with an estimated 528 thousand new cases diagnosed annually, 85% of which are recorded in developing countries. The incidence is higher in developing countries; varies from 42.7 in East Africa, up to 4.4 per 100.000 women in West Asia (Middle East); it is also an important cause of death by a malignant tumor in women with 266.000 deaths per year, 87% of which occur in underdeveloped countries. </w:t>
      </w:r>
    </w:p>
    <w:p w:rsidR="00B21CF5" w:rsidRDefault="00B21CF5" w:rsidP="007B5D85">
      <w:pPr>
        <w:pStyle w:val="Sinespaciado"/>
        <w:jc w:val="both"/>
        <w:rPr>
          <w:rFonts w:ascii="Arial" w:hAnsi="Arial" w:cs="Arial"/>
        </w:rPr>
      </w:pPr>
    </w:p>
    <w:p w:rsidR="007B5D85" w:rsidRDefault="007B5D85" w:rsidP="007B5D85">
      <w:pPr>
        <w:pStyle w:val="Sinespaciado"/>
        <w:jc w:val="both"/>
        <w:rPr>
          <w:rFonts w:ascii="Arial" w:hAnsi="Arial" w:cs="Arial"/>
        </w:rPr>
      </w:pPr>
      <w:r w:rsidRPr="007B5D85">
        <w:rPr>
          <w:rFonts w:ascii="Arial" w:hAnsi="Arial" w:cs="Arial"/>
        </w:rPr>
        <w:t>In Mexico since 2006 Cervical cancer is the second leading cause of cancer death in women. Each year it is estimated an occurrence of 13.960 cases in women, with an incidence of 23.3 cases per 100.000 women. In the year 2014, there were 3.063 new cases of malignant neoplasms of the uterine cervix with an incidence rate of 6.08 per 100.000 inhabitants over the age of 10 </w:t>
      </w:r>
      <w:r w:rsidR="00902417" w:rsidRPr="007B5D85">
        <w:rPr>
          <w:rFonts w:ascii="Arial" w:hAnsi="Arial" w:cs="Arial"/>
        </w:rPr>
        <w:t>years. The</w:t>
      </w:r>
      <w:r w:rsidRPr="007B5D85">
        <w:rPr>
          <w:rFonts w:ascii="Arial" w:hAnsi="Arial" w:cs="Arial"/>
        </w:rPr>
        <w:t> distribution of the cases of cancer of the cervix in relation to age, shows an increase from the 35 years, being the group of 50 to 59 years of age who has the highest percentage with about 30% of all cases registered for the year 2014; the average age of presentation of cases of CCU</w:t>
      </w:r>
      <w:r w:rsidR="00902417">
        <w:rPr>
          <w:rStyle w:val="Refdenotaalpie"/>
          <w:rFonts w:ascii="Arial" w:hAnsi="Arial" w:cs="Arial"/>
        </w:rPr>
        <w:footnoteReference w:id="1"/>
      </w:r>
      <w:r w:rsidRPr="007B5D85">
        <w:rPr>
          <w:rFonts w:ascii="Arial" w:hAnsi="Arial" w:cs="Arial"/>
        </w:rPr>
        <w:t> is 49.2 years. The positivity by Human Papilloma Virus for the year 2014 was 1035, the entities that registered the highest rate of positivity were the states of Veracruz, Tabasco and Chiapas with 13.1, 12.5 and 12.1 respectively. The 82.7% of the reported HPV genotypes</w:t>
      </w:r>
      <w:r w:rsidR="00902417">
        <w:rPr>
          <w:rStyle w:val="Refdenotaalpie"/>
          <w:rFonts w:ascii="Arial" w:hAnsi="Arial" w:cs="Arial"/>
        </w:rPr>
        <w:footnoteReference w:id="2"/>
      </w:r>
      <w:r w:rsidRPr="007B5D85">
        <w:rPr>
          <w:rFonts w:ascii="Arial" w:hAnsi="Arial" w:cs="Arial"/>
        </w:rPr>
        <w:t xml:space="preserve"> correspond to other HPV, a 18.81% to HPV16 and a 3.6% to HPV 18, the rest are due to coinfection of these genotypes. In relation to the histological classification, 46% of the CCU registered, correspond to invasive squamous cell carcinoma, a </w:t>
      </w:r>
      <w:r w:rsidRPr="007B5D85">
        <w:rPr>
          <w:rFonts w:ascii="Arial" w:hAnsi="Arial" w:cs="Arial"/>
        </w:rPr>
        <w:lastRenderedPageBreak/>
        <w:t>23% to microinvasive squamous cell carcinoma, a 10% to endocervical adenocarcinoma in situ, a 6% to  invasive endocervical adenocarcinoma, the rest are associated with other histologic types. In relation to the classification by clinical stages of detection of the CCU, the 23.27% correspond to carcinoma in situ, the 25.51% to stages, 16.61% to intermediate stages, a 30.8% to late stages and the 3.79% of cases of CCU tumors are not classifiable. </w:t>
      </w:r>
      <w:sdt>
        <w:sdtPr>
          <w:rPr>
            <w:rFonts w:ascii="Arial" w:hAnsi="Arial" w:cs="Arial"/>
          </w:rPr>
          <w:id w:val="5482969"/>
          <w:citation/>
        </w:sdtPr>
        <w:sdtEndPr>
          <w:rPr>
            <w:vertAlign w:val="superscript"/>
          </w:rPr>
        </w:sdtEndPr>
        <w:sdtContent>
          <w:r w:rsidR="002C7580" w:rsidRPr="00FF0782">
            <w:rPr>
              <w:rFonts w:ascii="Arial" w:hAnsi="Arial" w:cs="Arial"/>
              <w:vertAlign w:val="superscript"/>
            </w:rPr>
            <w:fldChar w:fldCharType="begin"/>
          </w:r>
          <w:r w:rsidR="00E27196" w:rsidRPr="00FF0782">
            <w:rPr>
              <w:rFonts w:ascii="Arial" w:hAnsi="Arial" w:cs="Arial"/>
              <w:vertAlign w:val="superscript"/>
            </w:rPr>
            <w:instrText xml:space="preserve"> CITATION Sec13 \l 2058  </w:instrText>
          </w:r>
          <w:r w:rsidR="002C7580" w:rsidRPr="00FF0782">
            <w:rPr>
              <w:rFonts w:ascii="Arial" w:hAnsi="Arial" w:cs="Arial"/>
              <w:vertAlign w:val="superscript"/>
            </w:rPr>
            <w:fldChar w:fldCharType="separate"/>
          </w:r>
          <w:r w:rsidR="006C4907" w:rsidRPr="00FF0782">
            <w:rPr>
              <w:rFonts w:ascii="Arial" w:hAnsi="Arial" w:cs="Arial"/>
              <w:noProof/>
              <w:vertAlign w:val="superscript"/>
            </w:rPr>
            <w:t>(1)</w:t>
          </w:r>
          <w:r w:rsidR="002C7580" w:rsidRPr="00FF0782">
            <w:rPr>
              <w:rFonts w:ascii="Arial" w:hAnsi="Arial" w:cs="Arial"/>
              <w:vertAlign w:val="superscript"/>
            </w:rPr>
            <w:fldChar w:fldCharType="end"/>
          </w:r>
        </w:sdtContent>
      </w:sdt>
    </w:p>
    <w:p w:rsidR="007B5F0C" w:rsidRDefault="007B5F0C" w:rsidP="007B5D85">
      <w:pPr>
        <w:pStyle w:val="Sinespaciado"/>
        <w:jc w:val="both"/>
        <w:rPr>
          <w:rFonts w:ascii="Arial" w:hAnsi="Arial" w:cs="Arial"/>
        </w:rPr>
      </w:pPr>
    </w:p>
    <w:p w:rsidR="00257D4D" w:rsidRDefault="008D7272" w:rsidP="007B5D85">
      <w:pPr>
        <w:pStyle w:val="Sinespaciado"/>
        <w:jc w:val="both"/>
        <w:rPr>
          <w:rFonts w:ascii="Arial" w:hAnsi="Arial" w:cs="Arial"/>
          <w:vertAlign w:val="superscript"/>
        </w:rPr>
      </w:pPr>
      <w:r w:rsidRPr="006C4907">
        <w:rPr>
          <w:rFonts w:ascii="Arial" w:hAnsi="Arial" w:cs="Arial"/>
        </w:rPr>
        <w:t>With regard to the cervical cancer mortality rates in the state of Hidalgo, in the year 2000 there were 75 deaths (9.3 x 100.000 women), in 2001 (11.2) 94, 60 in 2002 (7.1), in 2003 79 (8.6), (9.0) 200485 and 200594 (9.6).</w:t>
      </w:r>
      <w:sdt>
        <w:sdtPr>
          <w:rPr>
            <w:rFonts w:ascii="Arial" w:hAnsi="Arial" w:cs="Arial"/>
            <w:vertAlign w:val="superscript"/>
          </w:rPr>
          <w:id w:val="5482972"/>
          <w:citation/>
        </w:sdtPr>
        <w:sdtEndPr/>
        <w:sdtContent>
          <w:r w:rsidR="002C7580" w:rsidRPr="00FF0782">
            <w:rPr>
              <w:rFonts w:ascii="Arial" w:hAnsi="Arial" w:cs="Arial"/>
              <w:vertAlign w:val="superscript"/>
            </w:rPr>
            <w:fldChar w:fldCharType="begin"/>
          </w:r>
          <w:r w:rsidR="006C4907" w:rsidRPr="00FF0782">
            <w:rPr>
              <w:rFonts w:ascii="Arial" w:hAnsi="Arial" w:cs="Arial"/>
              <w:vertAlign w:val="superscript"/>
            </w:rPr>
            <w:instrText xml:space="preserve"> CITATION SUI17 \l 2058  </w:instrText>
          </w:r>
          <w:r w:rsidR="002C7580" w:rsidRPr="00FF0782">
            <w:rPr>
              <w:rFonts w:ascii="Arial" w:hAnsi="Arial" w:cs="Arial"/>
              <w:vertAlign w:val="superscript"/>
            </w:rPr>
            <w:fldChar w:fldCharType="separate"/>
          </w:r>
          <w:r w:rsidR="006C4907" w:rsidRPr="00FF0782">
            <w:rPr>
              <w:rFonts w:ascii="Arial" w:hAnsi="Arial" w:cs="Arial"/>
              <w:noProof/>
              <w:vertAlign w:val="superscript"/>
            </w:rPr>
            <w:t> (2)</w:t>
          </w:r>
          <w:r w:rsidR="002C7580" w:rsidRPr="00FF0782">
            <w:rPr>
              <w:rFonts w:ascii="Arial" w:hAnsi="Arial" w:cs="Arial"/>
              <w:vertAlign w:val="superscript"/>
            </w:rPr>
            <w:fldChar w:fldCharType="end"/>
          </w:r>
        </w:sdtContent>
      </w:sdt>
    </w:p>
    <w:p w:rsidR="00257D4D" w:rsidRDefault="00257D4D" w:rsidP="007B5D85">
      <w:pPr>
        <w:pStyle w:val="Sinespaciado"/>
        <w:jc w:val="both"/>
        <w:rPr>
          <w:rFonts w:ascii="Arial" w:hAnsi="Arial" w:cs="Arial"/>
          <w:vertAlign w:val="superscript"/>
        </w:rPr>
      </w:pPr>
    </w:p>
    <w:p w:rsidR="00257D4D" w:rsidRPr="00257D4D" w:rsidRDefault="00E821BD" w:rsidP="00E821BD">
      <w:pPr>
        <w:pStyle w:val="Sinespaciado"/>
        <w:jc w:val="center"/>
        <w:rPr>
          <w:rFonts w:ascii="Arial" w:hAnsi="Arial" w:cs="Arial"/>
        </w:rPr>
      </w:pPr>
      <w:r>
        <w:rPr>
          <w:rFonts w:ascii="Arial" w:hAnsi="Arial" w:cs="Arial"/>
        </w:rPr>
        <w:t>HISTORICAL</w:t>
      </w:r>
      <w:r w:rsidR="00257D4D">
        <w:rPr>
          <w:rFonts w:ascii="Arial" w:hAnsi="Arial" w:cs="Arial"/>
        </w:rPr>
        <w:t xml:space="preserve"> </w:t>
      </w:r>
      <w:r>
        <w:rPr>
          <w:rFonts w:ascii="Arial" w:hAnsi="Arial" w:cs="Arial"/>
        </w:rPr>
        <w:t>CONTEXT OF THE SCREENING TESTS FOR</w:t>
      </w:r>
      <w:r w:rsidR="00257D4D">
        <w:rPr>
          <w:rFonts w:ascii="Arial" w:hAnsi="Arial" w:cs="Arial"/>
        </w:rPr>
        <w:t xml:space="preserve"> CCU AND HPV</w:t>
      </w:r>
    </w:p>
    <w:p w:rsidR="007B5D85" w:rsidRPr="007B5D85" w:rsidRDefault="007B5D85" w:rsidP="00E66D68">
      <w:pPr>
        <w:pStyle w:val="Sinespaciado"/>
      </w:pPr>
    </w:p>
    <w:p w:rsidR="001B349B" w:rsidRPr="001B349B" w:rsidRDefault="00C32161" w:rsidP="001B349B">
      <w:pPr>
        <w:pStyle w:val="Sinespaciado"/>
        <w:jc w:val="both"/>
        <w:rPr>
          <w:rFonts w:ascii="Arial" w:hAnsi="Arial" w:cs="Arial"/>
        </w:rPr>
      </w:pPr>
      <w:r>
        <w:rPr>
          <w:rFonts w:ascii="Arial" w:hAnsi="Arial" w:cs="Arial"/>
        </w:rPr>
        <w:t>In </w:t>
      </w:r>
      <w:r w:rsidR="001B349B" w:rsidRPr="001B349B">
        <w:rPr>
          <w:rFonts w:ascii="Arial" w:hAnsi="Arial" w:cs="Arial"/>
        </w:rPr>
        <w:t>1914 Dr. George Nicholas Papanicolaou </w:t>
      </w:r>
      <w:r>
        <w:rPr>
          <w:rFonts w:ascii="Arial" w:hAnsi="Arial" w:cs="Arial"/>
        </w:rPr>
        <w:t>performs </w:t>
      </w:r>
      <w:r w:rsidR="001B349B" w:rsidRPr="001B349B">
        <w:rPr>
          <w:rFonts w:ascii="Arial" w:hAnsi="Arial" w:cs="Arial"/>
        </w:rPr>
        <w:t>Pap smears to guinea pigs of the menstrual cycle (technical).</w:t>
      </w:r>
      <w:r>
        <w:rPr>
          <w:rFonts w:ascii="Arial" w:hAnsi="Arial" w:cs="Arial"/>
        </w:rPr>
        <w:t> For </w:t>
      </w:r>
      <w:r w:rsidR="001B349B" w:rsidRPr="001B349B">
        <w:rPr>
          <w:rFonts w:ascii="Arial" w:hAnsi="Arial" w:cs="Arial"/>
        </w:rPr>
        <w:t>1927 the doctor Aurel Babes (1886-1962) presented his work on the diagnosis of cancer of the cervix using smears, which he published in 1928.</w:t>
      </w:r>
    </w:p>
    <w:p w:rsidR="00D978D0" w:rsidRDefault="00C32161" w:rsidP="001B349B">
      <w:pPr>
        <w:pStyle w:val="Sinespaciado"/>
        <w:jc w:val="both"/>
        <w:rPr>
          <w:rFonts w:ascii="Arial" w:hAnsi="Arial" w:cs="Arial"/>
          <w:vertAlign w:val="superscript"/>
        </w:rPr>
      </w:pPr>
      <w:r>
        <w:rPr>
          <w:rFonts w:ascii="Arial" w:hAnsi="Arial" w:cs="Arial"/>
        </w:rPr>
        <w:t>The researcher </w:t>
      </w:r>
      <w:r w:rsidR="001B349B" w:rsidRPr="001B349B">
        <w:rPr>
          <w:rFonts w:ascii="Arial" w:hAnsi="Arial" w:cs="Arial"/>
        </w:rPr>
        <w:t>Hans Peter Hinselmann</w:t>
      </w:r>
      <w:r>
        <w:rPr>
          <w:rFonts w:ascii="Arial" w:hAnsi="Arial" w:cs="Arial"/>
        </w:rPr>
        <w:t> invents the colposcope, which I use for the first time in December 1924; through the</w:t>
      </w:r>
      <w:r w:rsidR="001B349B" w:rsidRPr="001B349B">
        <w:rPr>
          <w:rFonts w:ascii="Arial" w:hAnsi="Arial" w:cs="Arial"/>
        </w:rPr>
        <w:t> "acetic acid test". Walter Schiller (1887-1960) In 1928 the test of Lugol's iodine (Schiller improved the technique of scraping with the help of  sharp curettes to obtain samples from suspicious areas colposcopicamente, allowing the histological analysis, for what can be considered the precursor of the PAP TEST. The German Karl August Bolten (1912-1972) came to this country as a student in 1953 and developed a school of colposcopy. George Papanicolaou continued working and in 1940 the "perfect the technique PAP" (take-fixation-staining-</w:t>
      </w:r>
      <w:r w:rsidR="001B349B" w:rsidRPr="001B349B">
        <w:rPr>
          <w:rFonts w:ascii="Arial" w:hAnsi="Arial" w:cs="Arial"/>
        </w:rPr>
        <w:lastRenderedPageBreak/>
        <w:t>nomenclature).</w:t>
      </w:r>
      <w:r>
        <w:rPr>
          <w:rFonts w:ascii="Arial" w:hAnsi="Arial" w:cs="Arial"/>
        </w:rPr>
        <w:t> Dr. </w:t>
      </w:r>
      <w:r w:rsidR="001B349B" w:rsidRPr="001B349B">
        <w:rPr>
          <w:rFonts w:ascii="Arial" w:hAnsi="Arial" w:cs="Arial"/>
        </w:rPr>
        <w:t> Harald zur Hausen proposed in 1975, that the human papilloma virus (HPV) was the etiologic agent of cervical cancer.</w:t>
      </w:r>
      <w:r>
        <w:rPr>
          <w:rFonts w:ascii="Arial" w:hAnsi="Arial" w:cs="Arial"/>
        </w:rPr>
        <w:t> As for the decade of the 1980s when Guissmann Lutz</w:t>
      </w:r>
      <w:r w:rsidR="001B349B" w:rsidRPr="001B349B">
        <w:rPr>
          <w:rFonts w:ascii="Arial" w:hAnsi="Arial" w:cs="Arial"/>
        </w:rPr>
        <w:t> published the first sequences isolated from HPV warts : HPV-6 and HPV-11; used as hybridization probes</w:t>
      </w:r>
      <w:r>
        <w:rPr>
          <w:rFonts w:ascii="Arial" w:hAnsi="Arial" w:cs="Arial"/>
        </w:rPr>
        <w:t> for the </w:t>
      </w:r>
      <w:r w:rsidR="001B349B" w:rsidRPr="001B349B">
        <w:rPr>
          <w:rFonts w:ascii="Arial" w:hAnsi="Arial" w:cs="Arial"/>
        </w:rPr>
        <w:t>16 and 18</w:t>
      </w:r>
      <w:r>
        <w:rPr>
          <w:rFonts w:ascii="Arial" w:hAnsi="Arial" w:cs="Arial"/>
        </w:rPr>
        <w:t> subsequently. </w:t>
      </w:r>
      <w:sdt>
        <w:sdtPr>
          <w:rPr>
            <w:rFonts w:ascii="Arial" w:hAnsi="Arial" w:cs="Arial"/>
            <w:vertAlign w:val="superscript"/>
          </w:rPr>
          <w:id w:val="5482974"/>
          <w:citation/>
        </w:sdtPr>
        <w:sdtEndPr/>
        <w:sdtContent>
          <w:r w:rsidR="002C7580" w:rsidRPr="00FF0782">
            <w:rPr>
              <w:rFonts w:ascii="Arial" w:hAnsi="Arial" w:cs="Arial"/>
              <w:vertAlign w:val="superscript"/>
            </w:rPr>
            <w:fldChar w:fldCharType="begin"/>
          </w:r>
          <w:r w:rsidR="00A53CE2" w:rsidRPr="00FF0782">
            <w:rPr>
              <w:rFonts w:ascii="Arial" w:hAnsi="Arial" w:cs="Arial"/>
              <w:vertAlign w:val="superscript"/>
            </w:rPr>
            <w:instrText xml:space="preserve"> CITATION Her15 \l 2058  </w:instrText>
          </w:r>
          <w:r w:rsidR="002C7580" w:rsidRPr="00FF0782">
            <w:rPr>
              <w:rFonts w:ascii="Arial" w:hAnsi="Arial" w:cs="Arial"/>
              <w:vertAlign w:val="superscript"/>
            </w:rPr>
            <w:fldChar w:fldCharType="separate"/>
          </w:r>
          <w:r w:rsidR="006C4907" w:rsidRPr="00FF0782">
            <w:rPr>
              <w:rFonts w:ascii="Arial" w:hAnsi="Arial" w:cs="Arial"/>
              <w:noProof/>
              <w:vertAlign w:val="superscript"/>
            </w:rPr>
            <w:t>(3)</w:t>
          </w:r>
          <w:r w:rsidR="002C7580" w:rsidRPr="00FF0782">
            <w:rPr>
              <w:rFonts w:ascii="Arial" w:hAnsi="Arial" w:cs="Arial"/>
              <w:vertAlign w:val="superscript"/>
            </w:rPr>
            <w:fldChar w:fldCharType="end"/>
          </w:r>
        </w:sdtContent>
      </w:sdt>
    </w:p>
    <w:p w:rsidR="00C32161" w:rsidRDefault="00C32161" w:rsidP="001B349B">
      <w:pPr>
        <w:pStyle w:val="Sinespaciado"/>
        <w:jc w:val="both"/>
        <w:rPr>
          <w:rFonts w:ascii="Arial" w:hAnsi="Arial" w:cs="Arial"/>
          <w:vertAlign w:val="superscript"/>
        </w:rPr>
      </w:pPr>
    </w:p>
    <w:p w:rsidR="00C32161" w:rsidRPr="00C32161" w:rsidRDefault="00C32161" w:rsidP="00C32161">
      <w:pPr>
        <w:pStyle w:val="Sinespaciado"/>
        <w:jc w:val="both"/>
        <w:rPr>
          <w:rFonts w:ascii="Arial" w:hAnsi="Arial" w:cs="Arial"/>
        </w:rPr>
      </w:pPr>
      <w:r w:rsidRPr="00C32161">
        <w:rPr>
          <w:rFonts w:ascii="Arial" w:hAnsi="Arial" w:cs="Arial"/>
        </w:rPr>
        <w:t>At present, the tendency of numerous research groups is to evaluate the possibility of using different molecular techniques for the detection of HPV as a tool in the primary screening of cervical cancer and dysplasia. Despite this, it is important that the techniques applied have a great sensitivity and specificity, in addition to a good reproducibility and negative predictive value, to consider and implement them in the optimal way for the detection of HPV in clinical practice.</w:t>
      </w:r>
    </w:p>
    <w:p w:rsidR="0032049A" w:rsidRDefault="00C32161" w:rsidP="00544D56">
      <w:pPr>
        <w:pStyle w:val="Sinespaciado"/>
        <w:jc w:val="both"/>
        <w:rPr>
          <w:rFonts w:ascii="Arial" w:hAnsi="Arial" w:cs="Arial"/>
          <w:vertAlign w:val="superscript"/>
        </w:rPr>
      </w:pPr>
      <w:r w:rsidRPr="00C32161">
        <w:rPr>
          <w:rFonts w:ascii="Arial" w:hAnsi="Arial" w:cs="Arial"/>
        </w:rPr>
        <w:t>The evidence of systematic diagnosis of HPV infection can be classified in visual (colposcopy), microscopic (cytology) and molecular techniques (PCR, hybridization, etc.). The colposcopy is a procedure exploratory instrumented to observe the condition of the epithelium, which are based on the identification of abnormal tissue by a whiteout when applying acetic acid</w:t>
      </w:r>
      <w:r w:rsidR="00D51BCB">
        <w:rPr>
          <w:rFonts w:ascii="Arial" w:hAnsi="Arial" w:cs="Arial"/>
        </w:rPr>
        <w:t> or Lugol's solution.</w:t>
      </w:r>
      <w:sdt>
        <w:sdtPr>
          <w:rPr>
            <w:rFonts w:ascii="Arial" w:hAnsi="Arial" w:cs="Arial"/>
            <w:vertAlign w:val="superscript"/>
          </w:rPr>
          <w:id w:val="5482982"/>
          <w:citation/>
        </w:sdtPr>
        <w:sdtEndPr/>
        <w:sdtContent>
          <w:r w:rsidR="002C7580" w:rsidRPr="00FF0782">
            <w:rPr>
              <w:rFonts w:ascii="Arial" w:hAnsi="Arial" w:cs="Arial"/>
              <w:vertAlign w:val="superscript"/>
            </w:rPr>
            <w:fldChar w:fldCharType="begin"/>
          </w:r>
          <w:r w:rsidR="00A53CE2" w:rsidRPr="00FF0782">
            <w:rPr>
              <w:rFonts w:ascii="Arial" w:hAnsi="Arial" w:cs="Arial"/>
              <w:vertAlign w:val="superscript"/>
            </w:rPr>
            <w:instrText xml:space="preserve"> CITATION Gut11 \l 2058 </w:instrText>
          </w:r>
          <w:r w:rsidR="002C7580" w:rsidRPr="00FF0782">
            <w:rPr>
              <w:rFonts w:ascii="Arial" w:hAnsi="Arial" w:cs="Arial"/>
              <w:vertAlign w:val="superscript"/>
            </w:rPr>
            <w:fldChar w:fldCharType="separate"/>
          </w:r>
          <w:r w:rsidR="006C4907" w:rsidRPr="00FF0782">
            <w:rPr>
              <w:rFonts w:ascii="Arial" w:hAnsi="Arial" w:cs="Arial"/>
              <w:noProof/>
              <w:vertAlign w:val="superscript"/>
            </w:rPr>
            <w:t> (4)</w:t>
          </w:r>
          <w:r w:rsidR="002C7580" w:rsidRPr="00FF0782">
            <w:rPr>
              <w:rFonts w:ascii="Arial" w:hAnsi="Arial" w:cs="Arial"/>
              <w:vertAlign w:val="superscript"/>
            </w:rPr>
            <w:fldChar w:fldCharType="end"/>
          </w:r>
        </w:sdtContent>
      </w:sdt>
    </w:p>
    <w:p w:rsidR="00E27196" w:rsidRPr="00544D56" w:rsidRDefault="00E27196" w:rsidP="00544D56">
      <w:pPr>
        <w:pStyle w:val="Sinespaciado"/>
        <w:jc w:val="both"/>
        <w:rPr>
          <w:rFonts w:ascii="Arial" w:hAnsi="Arial" w:cs="Arial"/>
        </w:rPr>
      </w:pPr>
    </w:p>
    <w:p w:rsidR="007B06A5" w:rsidRPr="009F65D8" w:rsidRDefault="00E821BD" w:rsidP="00E66D68">
      <w:pPr>
        <w:jc w:val="center"/>
        <w:outlineLvl w:val="0"/>
        <w:rPr>
          <w:rFonts w:ascii="Arial" w:hAnsi="Arial" w:cs="Arial"/>
        </w:rPr>
      </w:pPr>
      <w:r>
        <w:rPr>
          <w:rFonts w:ascii="Arial" w:hAnsi="Arial" w:cs="Arial"/>
        </w:rPr>
        <w:t>BODY</w:t>
      </w:r>
    </w:p>
    <w:p w:rsidR="00060FD4" w:rsidRPr="009F65D8" w:rsidRDefault="00E821BD" w:rsidP="00E66D68">
      <w:pPr>
        <w:jc w:val="center"/>
        <w:outlineLvl w:val="0"/>
        <w:rPr>
          <w:rFonts w:ascii="Arial" w:hAnsi="Arial" w:cs="Arial"/>
        </w:rPr>
      </w:pPr>
      <w:r>
        <w:rPr>
          <w:rFonts w:ascii="Arial" w:hAnsi="Arial" w:cs="Arial"/>
        </w:rPr>
        <w:t xml:space="preserve"> CONVENTIONAL CERVICAL </w:t>
      </w:r>
      <w:r w:rsidR="00064A2F" w:rsidRPr="009F65D8">
        <w:rPr>
          <w:rFonts w:ascii="Arial" w:hAnsi="Arial" w:cs="Arial"/>
        </w:rPr>
        <w:t>C</w:t>
      </w:r>
      <w:r>
        <w:rPr>
          <w:rFonts w:ascii="Arial" w:hAnsi="Arial" w:cs="Arial"/>
        </w:rPr>
        <w:t>YTOLOGY</w:t>
      </w:r>
      <w:r w:rsidR="00064A2F" w:rsidRPr="009F65D8">
        <w:rPr>
          <w:rFonts w:ascii="Arial" w:hAnsi="Arial" w:cs="Arial"/>
        </w:rPr>
        <w:t>/PAP</w:t>
      </w:r>
    </w:p>
    <w:p w:rsidR="00060FD4" w:rsidRPr="009F65D8" w:rsidRDefault="00FB3737" w:rsidP="00FB3737">
      <w:pPr>
        <w:pStyle w:val="Sinespaciado"/>
        <w:jc w:val="both"/>
        <w:rPr>
          <w:rFonts w:ascii="Arial" w:hAnsi="Arial" w:cs="Arial"/>
        </w:rPr>
      </w:pPr>
      <w:r w:rsidRPr="009F65D8">
        <w:rPr>
          <w:rFonts w:ascii="Arial" w:hAnsi="Arial" w:cs="Arial"/>
        </w:rPr>
        <w:t> A screening test for the early detection of cervical cancer, consists of obtaining cells from the endocervix and Ectocervix, its extended on the slide, the implementation of the Papanicolaou staining technique and the observation of the sample under a microscope to interpret the changes or alterations in the morphology of the cells. The early detection of cervical cancer by cervical cytology (described by George Papanicolaou in</w:t>
      </w:r>
      <w:r w:rsidR="00060FD4" w:rsidRPr="009F65D8">
        <w:rPr>
          <w:rFonts w:ascii="Arial" w:hAnsi="Arial" w:cs="Arial"/>
        </w:rPr>
        <w:t> 1943)</w:t>
      </w:r>
      <w:r w:rsidRPr="009F65D8">
        <w:rPr>
          <w:rFonts w:ascii="Arial" w:hAnsi="Arial" w:cs="Arial"/>
        </w:rPr>
        <w:t xml:space="preserve"> in the past 50 </w:t>
      </w:r>
      <w:r w:rsidRPr="009F65D8">
        <w:rPr>
          <w:rFonts w:ascii="Arial" w:hAnsi="Arial" w:cs="Arial"/>
        </w:rPr>
        <w:lastRenderedPageBreak/>
        <w:t>years has reduced mortality from invasive cancer of the cervix </w:t>
      </w:r>
      <w:r w:rsidR="00060FD4" w:rsidRPr="009F65D8">
        <w:rPr>
          <w:rFonts w:ascii="Arial" w:hAnsi="Arial" w:cs="Arial"/>
        </w:rPr>
        <w:t>at the global level. </w:t>
      </w:r>
      <w:sdt>
        <w:sdtPr>
          <w:rPr>
            <w:rFonts w:ascii="Arial" w:hAnsi="Arial" w:cs="Arial"/>
            <w:vertAlign w:val="superscript"/>
          </w:rPr>
          <w:id w:val="5482983"/>
          <w:citation/>
        </w:sdtPr>
        <w:sdtEndPr/>
        <w:sdtContent>
          <w:r w:rsidR="002C7580" w:rsidRPr="00FF0782">
            <w:rPr>
              <w:rFonts w:ascii="Arial" w:hAnsi="Arial" w:cs="Arial"/>
              <w:vertAlign w:val="superscript"/>
            </w:rPr>
            <w:fldChar w:fldCharType="begin"/>
          </w:r>
          <w:r w:rsidR="00DF1061" w:rsidRPr="00FF0782">
            <w:rPr>
              <w:rFonts w:ascii="Arial" w:hAnsi="Arial" w:cs="Arial"/>
              <w:vertAlign w:val="superscript"/>
            </w:rPr>
            <w:instrText xml:space="preserve"> CITATION Ram14 \l 2058 </w:instrText>
          </w:r>
          <w:r w:rsidR="002C7580" w:rsidRPr="00FF0782">
            <w:rPr>
              <w:rFonts w:ascii="Arial" w:hAnsi="Arial" w:cs="Arial"/>
              <w:vertAlign w:val="superscript"/>
            </w:rPr>
            <w:fldChar w:fldCharType="separate"/>
          </w:r>
          <w:r w:rsidR="006C4907" w:rsidRPr="00FF0782">
            <w:rPr>
              <w:rFonts w:ascii="Arial" w:hAnsi="Arial" w:cs="Arial"/>
              <w:noProof/>
              <w:vertAlign w:val="superscript"/>
            </w:rPr>
            <w:t>(5)</w:t>
          </w:r>
          <w:r w:rsidR="002C7580" w:rsidRPr="00FF0782">
            <w:rPr>
              <w:rFonts w:ascii="Arial" w:hAnsi="Arial" w:cs="Arial"/>
              <w:vertAlign w:val="superscript"/>
            </w:rPr>
            <w:fldChar w:fldCharType="end"/>
          </w:r>
        </w:sdtContent>
      </w:sdt>
    </w:p>
    <w:p w:rsidR="00291772" w:rsidRPr="009F65D8" w:rsidRDefault="00291772" w:rsidP="00FB3737">
      <w:pPr>
        <w:pStyle w:val="Sinespaciado"/>
        <w:jc w:val="both"/>
        <w:rPr>
          <w:rFonts w:ascii="Arial" w:hAnsi="Arial" w:cs="Arial"/>
        </w:rPr>
      </w:pPr>
    </w:p>
    <w:p w:rsidR="004308EB" w:rsidRDefault="00291772" w:rsidP="00544D56">
      <w:pPr>
        <w:pStyle w:val="Sinespaciado"/>
        <w:jc w:val="both"/>
        <w:rPr>
          <w:rFonts w:ascii="Arial" w:hAnsi="Arial" w:cs="Arial"/>
        </w:rPr>
      </w:pPr>
      <w:r w:rsidRPr="009F65D8">
        <w:rPr>
          <w:rFonts w:ascii="Arial" w:hAnsi="Arial" w:cs="Arial"/>
          <w:color w:val="000000"/>
        </w:rPr>
        <w:t>It has a is</w:t>
      </w:r>
      <w:sdt>
        <w:sdtPr>
          <w:rPr>
            <w:rFonts w:ascii="Arial" w:hAnsi="Arial" w:cs="Arial"/>
            <w:color w:val="000000"/>
            <w:vertAlign w:val="superscript"/>
          </w:rPr>
          <w:id w:val="5482984"/>
          <w:citation/>
        </w:sdtPr>
        <w:sdtEndPr/>
        <w:sdtContent>
          <w:r w:rsidR="002C7580" w:rsidRPr="00FF0782">
            <w:rPr>
              <w:rFonts w:ascii="Arial" w:hAnsi="Arial" w:cs="Arial"/>
              <w:color w:val="000000"/>
              <w:vertAlign w:val="superscript"/>
            </w:rPr>
            <w:fldChar w:fldCharType="begin"/>
          </w:r>
          <w:r w:rsidR="00DF1061" w:rsidRPr="00FF0782">
            <w:rPr>
              <w:rFonts w:ascii="Arial" w:hAnsi="Arial" w:cs="Arial"/>
              <w:color w:val="000000"/>
              <w:vertAlign w:val="superscript"/>
            </w:rPr>
            <w:instrText xml:space="preserve"> CITATION Car13 \l 2058 </w:instrText>
          </w:r>
          <w:r w:rsidR="002C7580" w:rsidRPr="00FF0782">
            <w:rPr>
              <w:rFonts w:ascii="Arial" w:hAnsi="Arial" w:cs="Arial"/>
              <w:color w:val="000000"/>
              <w:vertAlign w:val="superscript"/>
            </w:rPr>
            <w:fldChar w:fldCharType="separate"/>
          </w:r>
          <w:r w:rsidR="006C4907" w:rsidRPr="00FF0782">
            <w:rPr>
              <w:rFonts w:ascii="Arial" w:hAnsi="Arial" w:cs="Arial"/>
              <w:noProof/>
              <w:color w:val="000000"/>
              <w:vertAlign w:val="superscript"/>
            </w:rPr>
            <w:t> (6)</w:t>
          </w:r>
          <w:r w:rsidR="002C7580" w:rsidRPr="00FF0782">
            <w:rPr>
              <w:rFonts w:ascii="Arial" w:hAnsi="Arial" w:cs="Arial"/>
              <w:color w:val="000000"/>
              <w:vertAlign w:val="superscript"/>
            </w:rPr>
            <w:fldChar w:fldCharType="end"/>
          </w:r>
        </w:sdtContent>
      </w:sdt>
      <w:r w:rsidRPr="009F65D8">
        <w:rPr>
          <w:rFonts w:ascii="Arial" w:hAnsi="Arial" w:cs="Arial"/>
          <w:color w:val="000000"/>
        </w:rPr>
        <w:t> While the</w:t>
      </w:r>
      <w:r w:rsidRPr="009F65D8">
        <w:rPr>
          <w:rFonts w:ascii="Arial" w:hAnsi="Arial" w:cs="Arial"/>
        </w:rPr>
        <w:t>sensitivity of cytology has been reported from 32.4 to 90%, and may not be detected high-grade neoplasia or cancer in more than 35%; produces false negatives of 5 to 35%, and pose a defeat to the timely detection because avanzadamente could be diagnosed later. For this screening</w:t>
      </w:r>
      <w:r w:rsidR="00FB3737" w:rsidRPr="009F65D8">
        <w:rPr>
          <w:rFonts w:ascii="Arial" w:hAnsi="Arial" w:cs="Arial"/>
        </w:rPr>
        <w:t> is highly sensitive and specific it is necessary that the cytological sample contains cells of the ectocervix and endocervix, that these are appropriately extended in the glovebox and secured correctly, in addition to the adequate implementation of the Papanicolaou staining technique and proper interpretation of the cellular morphological changes </w:t>
      </w:r>
      <w:sdt>
        <w:sdtPr>
          <w:rPr>
            <w:rFonts w:ascii="Arial" w:hAnsi="Arial" w:cs="Arial"/>
            <w:vertAlign w:val="superscript"/>
          </w:rPr>
          <w:id w:val="7929901"/>
          <w:citation/>
        </w:sdtPr>
        <w:sdtEndPr/>
        <w:sdtContent>
          <w:r w:rsidR="002C7580" w:rsidRPr="00FF0782">
            <w:rPr>
              <w:rFonts w:ascii="Arial" w:hAnsi="Arial" w:cs="Arial"/>
              <w:vertAlign w:val="superscript"/>
            </w:rPr>
            <w:fldChar w:fldCharType="begin"/>
          </w:r>
          <w:r w:rsidR="00C01297" w:rsidRPr="00FF0782">
            <w:rPr>
              <w:rFonts w:ascii="Arial" w:hAnsi="Arial" w:cs="Arial"/>
              <w:vertAlign w:val="superscript"/>
            </w:rPr>
            <w:instrText xml:space="preserve"> CITATION San13 \l 2058 </w:instrText>
          </w:r>
          <w:r w:rsidR="002C7580" w:rsidRPr="00FF0782">
            <w:rPr>
              <w:rFonts w:ascii="Arial" w:hAnsi="Arial" w:cs="Arial"/>
              <w:vertAlign w:val="superscript"/>
            </w:rPr>
            <w:fldChar w:fldCharType="separate"/>
          </w:r>
          <w:r w:rsidR="006C4907" w:rsidRPr="00FF0782">
            <w:rPr>
              <w:rFonts w:ascii="Arial" w:hAnsi="Arial" w:cs="Arial"/>
              <w:noProof/>
              <w:vertAlign w:val="superscript"/>
            </w:rPr>
            <w:t>(7)</w:t>
          </w:r>
          <w:r w:rsidR="002C7580" w:rsidRPr="00FF0782">
            <w:rPr>
              <w:rFonts w:ascii="Arial" w:hAnsi="Arial" w:cs="Arial"/>
              <w:vertAlign w:val="superscript"/>
            </w:rPr>
            <w:fldChar w:fldCharType="end"/>
          </w:r>
        </w:sdtContent>
      </w:sdt>
      <w:r w:rsidR="00FB3737" w:rsidRPr="009F65D8">
        <w:rPr>
          <w:rFonts w:ascii="Arial" w:hAnsi="Arial" w:cs="Arial"/>
        </w:rPr>
        <w:t>.</w:t>
      </w:r>
      <w:r w:rsidR="004A3F7B" w:rsidRPr="009F65D8">
        <w:rPr>
          <w:rFonts w:ascii="Arial" w:hAnsi="Arial" w:cs="Arial"/>
        </w:rPr>
        <w:t> There are 3 ways to take the cytology, see the following picture:</w:t>
      </w:r>
    </w:p>
    <w:p w:rsidR="00BC5015" w:rsidRDefault="00BC5015" w:rsidP="00544D56">
      <w:pPr>
        <w:pStyle w:val="Sinespaciado"/>
        <w:jc w:val="both"/>
        <w:rPr>
          <w:rFonts w:ascii="Arial" w:hAnsi="Arial" w:cs="Arial"/>
        </w:rPr>
      </w:pPr>
    </w:p>
    <w:p w:rsidR="00BC5015" w:rsidRPr="00E66D68" w:rsidRDefault="00BC5015" w:rsidP="00BC5015">
      <w:pPr>
        <w:pStyle w:val="Sinespaciado"/>
        <w:jc w:val="center"/>
        <w:outlineLvl w:val="0"/>
        <w:rPr>
          <w:rFonts w:ascii="Arial" w:hAnsi="Arial" w:cs="Arial"/>
          <w:sz w:val="16"/>
          <w:szCs w:val="16"/>
        </w:rPr>
      </w:pPr>
      <w:r w:rsidRPr="00E66D68">
        <w:rPr>
          <w:rFonts w:ascii="Arial" w:hAnsi="Arial" w:cs="Arial"/>
          <w:sz w:val="16"/>
          <w:szCs w:val="16"/>
        </w:rPr>
        <w:t>Royalty 1. Techniques to extend the ectocervical lesion material.</w:t>
      </w:r>
    </w:p>
    <w:p w:rsidR="00BC5015" w:rsidRPr="00544D56" w:rsidRDefault="00BC5015" w:rsidP="00544D56">
      <w:pPr>
        <w:pStyle w:val="Sinespaciado"/>
        <w:jc w:val="both"/>
        <w:rPr>
          <w:rFonts w:ascii="Arial" w:hAnsi="Arial" w:cs="Arial"/>
        </w:rPr>
      </w:pPr>
    </w:p>
    <w:p w:rsidR="00060FD4" w:rsidRDefault="004A3F7B" w:rsidP="004A3F7B">
      <w:pPr>
        <w:pStyle w:val="Sinespaciado"/>
        <w:jc w:val="center"/>
        <w:rPr>
          <w:rFonts w:ascii="Arial" w:hAnsi="Arial" w:cs="Arial"/>
          <w:vertAlign w:val="superscript"/>
        </w:rPr>
      </w:pPr>
      <w:r w:rsidRPr="009F65D8">
        <w:rPr>
          <w:rFonts w:ascii="Arial" w:hAnsi="Arial" w:cs="Arial"/>
          <w:noProof/>
          <w:lang w:val="es-ES" w:eastAsia="es-ES"/>
        </w:rPr>
        <w:drawing>
          <wp:inline distT="0" distB="0" distL="0" distR="0">
            <wp:extent cx="2516342" cy="2519917"/>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l="32457" t="20909" r="27163" b="7900"/>
                    <a:stretch>
                      <a:fillRect/>
                    </a:stretch>
                  </pic:blipFill>
                  <pic:spPr bwMode="auto">
                    <a:xfrm>
                      <a:off x="0" y="0"/>
                      <a:ext cx="2524814" cy="2528401"/>
                    </a:xfrm>
                    <a:prstGeom prst="rect">
                      <a:avLst/>
                    </a:prstGeom>
                    <a:noFill/>
                    <a:ln w="9525">
                      <a:noFill/>
                      <a:miter lim="800000"/>
                      <a:headEnd/>
                      <a:tailEnd/>
                    </a:ln>
                  </pic:spPr>
                </pic:pic>
              </a:graphicData>
            </a:graphic>
          </wp:inline>
        </w:drawing>
      </w:r>
    </w:p>
    <w:p w:rsidR="004308EB" w:rsidRPr="00F27F50" w:rsidRDefault="004308EB" w:rsidP="004A3F7B">
      <w:pPr>
        <w:pStyle w:val="Sinespaciado"/>
        <w:jc w:val="center"/>
        <w:rPr>
          <w:rFonts w:ascii="Arial" w:hAnsi="Arial" w:cs="Arial"/>
          <w:sz w:val="20"/>
          <w:szCs w:val="20"/>
        </w:rPr>
      </w:pPr>
    </w:p>
    <w:p w:rsidR="004308EB" w:rsidRPr="00E66D68" w:rsidRDefault="00C01297" w:rsidP="00EF11DB">
      <w:pPr>
        <w:pStyle w:val="Sinespaciado"/>
        <w:jc w:val="center"/>
        <w:outlineLvl w:val="0"/>
        <w:rPr>
          <w:rFonts w:ascii="Arial" w:hAnsi="Arial" w:cs="Arial"/>
          <w:sz w:val="16"/>
          <w:szCs w:val="16"/>
        </w:rPr>
      </w:pPr>
      <w:r w:rsidRPr="00E66D68">
        <w:rPr>
          <w:rFonts w:ascii="Arial" w:hAnsi="Arial" w:cs="Arial"/>
          <w:sz w:val="16"/>
          <w:szCs w:val="16"/>
        </w:rPr>
        <w:t>Source: </w:t>
      </w:r>
      <w:r w:rsidRPr="00E66D68">
        <w:rPr>
          <w:rFonts w:ascii="Arial" w:hAnsi="Arial" w:cs="Arial"/>
          <w:noProof/>
          <w:sz w:val="16"/>
          <w:szCs w:val="16"/>
        </w:rPr>
        <w:t>RAMOS G. Cervical cytology satisfactory, extended ectocervical circular compared with longitudinal. Rev Mex Inst Mex Insurance Soc. 2014; 52(6).</w:t>
      </w:r>
    </w:p>
    <w:p w:rsidR="004308EB" w:rsidRPr="009F65D8" w:rsidRDefault="004308EB" w:rsidP="004A3F7B">
      <w:pPr>
        <w:pStyle w:val="Sinespaciado"/>
        <w:jc w:val="center"/>
        <w:rPr>
          <w:rFonts w:ascii="Arial" w:hAnsi="Arial" w:cs="Arial"/>
        </w:rPr>
      </w:pPr>
    </w:p>
    <w:p w:rsidR="00060FD4" w:rsidRPr="009F65D8" w:rsidRDefault="00060FD4" w:rsidP="00FB3737">
      <w:pPr>
        <w:pStyle w:val="Sinespaciado"/>
        <w:jc w:val="both"/>
        <w:rPr>
          <w:rFonts w:ascii="Arial" w:hAnsi="Arial" w:cs="Arial"/>
        </w:rPr>
      </w:pPr>
      <w:r w:rsidRPr="009F65D8">
        <w:rPr>
          <w:rFonts w:ascii="Arial" w:hAnsi="Arial" w:cs="Arial"/>
        </w:rPr>
        <w:t>There are criteria for evaluating </w:t>
      </w:r>
      <w:r w:rsidR="00FB3737" w:rsidRPr="009F65D8">
        <w:rPr>
          <w:rFonts w:ascii="Arial" w:hAnsi="Arial" w:cs="Arial"/>
        </w:rPr>
        <w:t> the quality of the </w:t>
      </w:r>
      <w:r w:rsidRPr="009F65D8">
        <w:rPr>
          <w:rFonts w:ascii="Arial" w:hAnsi="Arial" w:cs="Arial"/>
        </w:rPr>
        <w:t xml:space="preserve">sample, the Bethesda system, incorporated into the Official </w:t>
      </w:r>
      <w:r w:rsidRPr="009F65D8">
        <w:rPr>
          <w:rFonts w:ascii="Arial" w:hAnsi="Arial" w:cs="Arial"/>
        </w:rPr>
        <w:lastRenderedPageBreak/>
        <w:t>Mexican Norm NOM-014-SSA2-1994, use the following categories: </w:t>
      </w:r>
      <w:r w:rsidR="004A73D3">
        <w:rPr>
          <w:rStyle w:val="Refdenotaalpie"/>
          <w:rFonts w:ascii="Arial" w:hAnsi="Arial" w:cs="Arial"/>
        </w:rPr>
        <w:footnoteReference w:id="3"/>
      </w:r>
      <w:r w:rsidR="004A73D3">
        <w:rPr>
          <w:rStyle w:val="Refdenotaalpie"/>
          <w:rFonts w:ascii="Arial" w:hAnsi="Arial" w:cs="Arial"/>
        </w:rPr>
        <w:footnoteReference w:id="4"/>
      </w:r>
    </w:p>
    <w:p w:rsidR="00060FD4" w:rsidRPr="009F65D8" w:rsidRDefault="00060FD4" w:rsidP="00FB3737">
      <w:pPr>
        <w:pStyle w:val="Sinespaciado"/>
        <w:jc w:val="both"/>
        <w:rPr>
          <w:rFonts w:ascii="Arial" w:hAnsi="Arial" w:cs="Arial"/>
        </w:rPr>
      </w:pPr>
    </w:p>
    <w:p w:rsidR="00060FD4" w:rsidRPr="009F65D8" w:rsidRDefault="00FB3737" w:rsidP="00FB3737">
      <w:pPr>
        <w:pStyle w:val="Sinespaciado"/>
        <w:jc w:val="both"/>
        <w:rPr>
          <w:rFonts w:ascii="Arial" w:hAnsi="Arial" w:cs="Arial"/>
        </w:rPr>
      </w:pPr>
      <w:r w:rsidRPr="009F65D8">
        <w:rPr>
          <w:rFonts w:ascii="Arial" w:hAnsi="Arial" w:cs="Arial"/>
        </w:rPr>
        <w:t>• Satisfactory for evaluation (with the specification of whether or not there are elements of the transformation zone). </w:t>
      </w:r>
    </w:p>
    <w:p w:rsidR="004A3F7B" w:rsidRPr="009F65D8" w:rsidRDefault="00FB3737" w:rsidP="00FB3737">
      <w:pPr>
        <w:pStyle w:val="Sinespaciado"/>
        <w:jc w:val="both"/>
        <w:rPr>
          <w:rFonts w:ascii="Arial" w:hAnsi="Arial" w:cs="Arial"/>
        </w:rPr>
      </w:pPr>
      <w:r w:rsidRPr="009F65D8">
        <w:rPr>
          <w:rFonts w:ascii="Arial" w:hAnsi="Arial" w:cs="Arial"/>
        </w:rPr>
        <w:t>• Unsatisfactory for evaluation (when the specimen is not identified, the foil is broken or there are factors that impede its interpretation, such as blood or inflammation). </w:t>
      </w:r>
    </w:p>
    <w:p w:rsidR="004A3F7B" w:rsidRPr="009F65D8" w:rsidRDefault="004A3F7B" w:rsidP="00FB3737">
      <w:pPr>
        <w:pStyle w:val="Sinespaciado"/>
        <w:jc w:val="both"/>
        <w:rPr>
          <w:rFonts w:ascii="Arial" w:hAnsi="Arial" w:cs="Arial"/>
        </w:rPr>
      </w:pPr>
    </w:p>
    <w:p w:rsidR="00DF1061" w:rsidRPr="000C53EB" w:rsidRDefault="00FB3737" w:rsidP="00FB3737">
      <w:pPr>
        <w:pStyle w:val="Sinespaciado"/>
        <w:jc w:val="both"/>
        <w:rPr>
          <w:rFonts w:ascii="Arial" w:hAnsi="Arial" w:cs="Arial"/>
          <w:vertAlign w:val="superscript"/>
        </w:rPr>
      </w:pPr>
      <w:r w:rsidRPr="009F65D8">
        <w:rPr>
          <w:rFonts w:ascii="Arial" w:hAnsi="Arial" w:cs="Arial"/>
        </w:rPr>
        <w:t>This report sets out the minimum criteria of cellularity and visibility, both glandular as flaky, and stresses the importance of endocervical cells or transformation zone as the primary indicator for the quality of the sample. With this in another range the cellular elements of the exocervix (squamous cell carcinoma), since these are not eligible to decide if the sample is satisfactory for evaluation and refers only to quality indicators, including the minimum cellularity 8000 to 12000 (squamous cell carcinoma) and visibility of the same (minimum 25% of squamous cell overlapping).</w:t>
      </w:r>
      <w:sdt>
        <w:sdtPr>
          <w:rPr>
            <w:rFonts w:ascii="Arial" w:hAnsi="Arial" w:cs="Arial"/>
          </w:rPr>
          <w:id w:val="5482986"/>
          <w:citation/>
        </w:sdtPr>
        <w:sdtEndPr>
          <w:rPr>
            <w:vertAlign w:val="superscript"/>
          </w:rPr>
        </w:sdtEndPr>
        <w:sdtContent>
          <w:r w:rsidR="002C7580" w:rsidRPr="00292F7E">
            <w:rPr>
              <w:rFonts w:ascii="Arial" w:hAnsi="Arial" w:cs="Arial"/>
              <w:vertAlign w:val="superscript"/>
            </w:rPr>
            <w:fldChar w:fldCharType="begin"/>
          </w:r>
          <w:r w:rsidR="000C53EB" w:rsidRPr="00292F7E">
            <w:rPr>
              <w:rFonts w:ascii="Arial" w:hAnsi="Arial" w:cs="Arial"/>
              <w:vertAlign w:val="superscript"/>
            </w:rPr>
            <w:instrText xml:space="preserve"> CITATION Sec07 \l 2058  </w:instrText>
          </w:r>
          <w:r w:rsidR="002C7580" w:rsidRPr="00292F7E">
            <w:rPr>
              <w:rFonts w:ascii="Arial" w:hAnsi="Arial" w:cs="Arial"/>
              <w:vertAlign w:val="superscript"/>
            </w:rPr>
            <w:fldChar w:fldCharType="separate"/>
          </w:r>
          <w:r w:rsidR="006C4907" w:rsidRPr="00292F7E">
            <w:rPr>
              <w:rFonts w:ascii="Arial" w:hAnsi="Arial" w:cs="Arial"/>
              <w:noProof/>
              <w:vertAlign w:val="superscript"/>
            </w:rPr>
            <w:t> (8)</w:t>
          </w:r>
          <w:r w:rsidR="002C7580" w:rsidRPr="00292F7E">
            <w:rPr>
              <w:rFonts w:ascii="Arial" w:hAnsi="Arial" w:cs="Arial"/>
              <w:vertAlign w:val="superscript"/>
            </w:rPr>
            <w:fldChar w:fldCharType="end"/>
          </w:r>
        </w:sdtContent>
      </w:sdt>
    </w:p>
    <w:p w:rsidR="00D10F09" w:rsidRPr="00D10F09" w:rsidRDefault="00D10F09" w:rsidP="00FB3737">
      <w:pPr>
        <w:pStyle w:val="Sinespaciado"/>
        <w:jc w:val="both"/>
        <w:rPr>
          <w:rFonts w:ascii="Arial" w:hAnsi="Arial" w:cs="Arial"/>
          <w:vertAlign w:val="superscript"/>
        </w:rPr>
      </w:pPr>
    </w:p>
    <w:p w:rsidR="00291772" w:rsidRPr="009F65D8" w:rsidRDefault="00291772" w:rsidP="00291772">
      <w:pPr>
        <w:pStyle w:val="Sinespaciado"/>
        <w:jc w:val="both"/>
        <w:rPr>
          <w:rFonts w:ascii="Arial" w:hAnsi="Arial" w:cs="Arial"/>
        </w:rPr>
      </w:pPr>
    </w:p>
    <w:p w:rsidR="00064A2F" w:rsidRPr="009F65D8" w:rsidRDefault="00E821BD" w:rsidP="00E66D68">
      <w:pPr>
        <w:pStyle w:val="Sinespaciado"/>
        <w:jc w:val="center"/>
        <w:outlineLvl w:val="0"/>
        <w:rPr>
          <w:rFonts w:ascii="Arial" w:hAnsi="Arial" w:cs="Arial"/>
        </w:rPr>
      </w:pPr>
      <w:r>
        <w:rPr>
          <w:rFonts w:ascii="Arial" w:hAnsi="Arial" w:cs="Arial"/>
        </w:rPr>
        <w:t>LIQUID-BASED CERVICAL CYTOLOGY</w:t>
      </w:r>
    </w:p>
    <w:p w:rsidR="00064A2F" w:rsidRPr="009F65D8" w:rsidRDefault="00064A2F" w:rsidP="00291772">
      <w:pPr>
        <w:pStyle w:val="Sinespaciado"/>
        <w:jc w:val="both"/>
        <w:rPr>
          <w:rFonts w:ascii="Arial" w:hAnsi="Arial" w:cs="Arial"/>
        </w:rPr>
      </w:pPr>
    </w:p>
    <w:p w:rsidR="00106B23" w:rsidRPr="00106B23" w:rsidRDefault="00064A2F" w:rsidP="00291772">
      <w:pPr>
        <w:pStyle w:val="Sinespaciado"/>
        <w:jc w:val="both"/>
        <w:rPr>
          <w:rFonts w:ascii="Arial" w:hAnsi="Arial" w:cs="Arial"/>
          <w:vertAlign w:val="superscript"/>
        </w:rPr>
      </w:pPr>
      <w:r w:rsidRPr="009F65D8">
        <w:rPr>
          <w:rFonts w:ascii="Arial" w:hAnsi="Arial" w:cs="Arial"/>
        </w:rPr>
        <w:t>Liquid based cytology unlike the conventional extended is not performed in the initial phase, but is transferred the material (sample) to the fixative or preservative, which increases the cytologic detection of squamous intraepithelial lesions and reduce the number of extended unsatisfactory; the sensitivity in liquid base for </w:t>
      </w:r>
      <w:r w:rsidR="00CE4A3B">
        <w:rPr>
          <w:rFonts w:ascii="Arial" w:hAnsi="Arial" w:cs="Arial"/>
        </w:rPr>
        <w:t> high-grade intraepithelial lesions (LIEA),</w:t>
      </w:r>
      <w:r w:rsidR="00CE4A3B">
        <w:rPr>
          <w:rStyle w:val="Refdenotaalpie"/>
          <w:rFonts w:ascii="Arial" w:hAnsi="Arial" w:cs="Arial"/>
        </w:rPr>
        <w:footnoteReference w:id="5"/>
      </w:r>
      <w:r w:rsidR="00CE4A3B">
        <w:rPr>
          <w:rFonts w:ascii="Arial" w:hAnsi="Arial" w:cs="Arial"/>
        </w:rPr>
        <w:t xml:space="preserve"> low-grade intraepithelial lesions (LIEB) and Atypical cells of undetermined significance (ASCUS), and it was found 57.1%; 79.1% and 90.4%, respectively, with respect to the conventional, with 55.2%, 75.6% and 88.2%, without statistical differences in </w:t>
      </w:r>
      <w:r w:rsidR="00CE4A3B">
        <w:rPr>
          <w:rFonts w:ascii="Arial" w:hAnsi="Arial" w:cs="Arial"/>
        </w:rPr>
        <w:lastRenderedPageBreak/>
        <w:t>sensitivity and specificity for cervical neoplasia grade 2, between the conventional technique and the liquid base.</w:t>
      </w:r>
      <w:r w:rsidR="00CE4A3B">
        <w:rPr>
          <w:rStyle w:val="Refdenotaalpie"/>
          <w:rFonts w:ascii="Arial" w:hAnsi="Arial" w:cs="Arial"/>
        </w:rPr>
        <w:footnoteReference w:id="6"/>
      </w:r>
      <w:r w:rsidR="00CE4A3B">
        <w:rPr>
          <w:rStyle w:val="Refdenotaalpie"/>
          <w:rFonts w:ascii="Arial" w:hAnsi="Arial" w:cs="Arial"/>
        </w:rPr>
        <w:footnoteReference w:id="7"/>
      </w:r>
      <w:sdt>
        <w:sdtPr>
          <w:rPr>
            <w:rFonts w:ascii="Arial" w:hAnsi="Arial" w:cs="Arial"/>
            <w:vertAlign w:val="superscript"/>
          </w:rPr>
          <w:id w:val="5482987"/>
          <w:citation/>
        </w:sdtPr>
        <w:sdtEndPr/>
        <w:sdtContent>
          <w:r w:rsidR="002C7580" w:rsidRPr="00292F7E">
            <w:rPr>
              <w:rFonts w:ascii="Arial" w:hAnsi="Arial" w:cs="Arial"/>
              <w:vertAlign w:val="superscript"/>
            </w:rPr>
            <w:fldChar w:fldCharType="begin"/>
          </w:r>
          <w:r w:rsidR="00106B23" w:rsidRPr="00292F7E">
            <w:rPr>
              <w:rFonts w:ascii="Arial" w:hAnsi="Arial" w:cs="Arial"/>
              <w:vertAlign w:val="superscript"/>
            </w:rPr>
            <w:instrText xml:space="preserve"> CITATION Con15 \l 2058 </w:instrText>
          </w:r>
          <w:r w:rsidR="002C7580" w:rsidRPr="00292F7E">
            <w:rPr>
              <w:rFonts w:ascii="Arial" w:hAnsi="Arial" w:cs="Arial"/>
              <w:vertAlign w:val="superscript"/>
            </w:rPr>
            <w:fldChar w:fldCharType="separate"/>
          </w:r>
          <w:r w:rsidR="006C4907" w:rsidRPr="00292F7E">
            <w:rPr>
              <w:rFonts w:ascii="Arial" w:hAnsi="Arial" w:cs="Arial"/>
              <w:noProof/>
              <w:vertAlign w:val="superscript"/>
            </w:rPr>
            <w:t> (9)</w:t>
          </w:r>
          <w:r w:rsidR="002C7580" w:rsidRPr="00292F7E">
            <w:rPr>
              <w:rFonts w:ascii="Arial" w:hAnsi="Arial" w:cs="Arial"/>
              <w:vertAlign w:val="superscript"/>
            </w:rPr>
            <w:fldChar w:fldCharType="end"/>
          </w:r>
        </w:sdtContent>
      </w:sdt>
    </w:p>
    <w:p w:rsidR="00064A2F" w:rsidRPr="009F65D8" w:rsidRDefault="00064A2F" w:rsidP="00291772">
      <w:pPr>
        <w:pStyle w:val="Sinespaciado"/>
        <w:jc w:val="both"/>
        <w:rPr>
          <w:rFonts w:ascii="Arial" w:hAnsi="Arial" w:cs="Arial"/>
        </w:rPr>
      </w:pPr>
    </w:p>
    <w:p w:rsidR="00106B23" w:rsidRPr="009F65D8" w:rsidRDefault="005E28B8" w:rsidP="00291772">
      <w:pPr>
        <w:pStyle w:val="Sinespaciado"/>
        <w:jc w:val="both"/>
        <w:rPr>
          <w:rFonts w:ascii="Arial" w:hAnsi="Arial" w:cs="Arial"/>
          <w:vertAlign w:val="superscript"/>
        </w:rPr>
      </w:pPr>
      <w:r w:rsidRPr="009F65D8">
        <w:rPr>
          <w:rFonts w:ascii="Arial" w:hAnsi="Arial" w:cs="Arial"/>
        </w:rPr>
        <w:t>The procedure is to remove the vial the brushes, the liquid is </w:t>
      </w:r>
      <w:r w:rsidR="001B1BBE">
        <w:rPr>
          <w:rFonts w:ascii="Arial" w:hAnsi="Arial" w:cs="Arial"/>
        </w:rPr>
        <w:t>poured</w:t>
      </w:r>
      <w:r w:rsidRPr="009F65D8">
        <w:rPr>
          <w:rFonts w:ascii="Arial" w:hAnsi="Arial" w:cs="Arial"/>
        </w:rPr>
        <w:t> into a test tube and centrifuged for 5 minutes 1,500 RPM; excess is removed leaving the sediment, take the brackets for the slides and placed</w:t>
      </w:r>
      <w:r w:rsidR="00CE4A3B">
        <w:rPr>
          <w:rStyle w:val="Refdenotaalpie"/>
          <w:rFonts w:ascii="Arial" w:hAnsi="Arial" w:cs="Arial"/>
        </w:rPr>
        <w:footnoteReference w:id="8"/>
      </w:r>
      <w:r w:rsidR="00064A2F" w:rsidRPr="009F65D8">
        <w:rPr>
          <w:rFonts w:ascii="Arial" w:hAnsi="Arial" w:cs="Arial"/>
        </w:rPr>
        <w:t> a porta above (identified with a secret code), a filter that has a hole in the center, a kind of funnel and a ring that is turned to hold the other. With an automatic pipette a drop of sediment in the slide through the funnel mentioned before. This support with the slide, the filter and the drop of sediment are placed in a </w:t>
      </w:r>
      <w:r w:rsidRPr="009F65D8">
        <w:rPr>
          <w:rFonts w:ascii="Arial" w:hAnsi="Arial" w:cs="Arial"/>
        </w:rPr>
        <w:t>closed container and given</w:t>
      </w:r>
      <w:r w:rsidR="00064A2F" w:rsidRPr="009F65D8">
        <w:rPr>
          <w:rFonts w:ascii="Arial" w:hAnsi="Arial" w:cs="Arial"/>
        </w:rPr>
        <w:t> 5 minutes of time to 1,500 revolutions per minute. At the end of the centrifugation are removed and disassembled the supports of the packages to be removed from the filter and is fixed; stained each slide with the conventional technique, with hematoxylin-eosin staining as described above for</w:t>
      </w:r>
      <w:r w:rsidRPr="009F65D8">
        <w:rPr>
          <w:rFonts w:ascii="Arial" w:hAnsi="Arial" w:cs="Arial"/>
        </w:rPr>
        <w:t> the cytology Pap test and is</w:t>
      </w:r>
      <w:r w:rsidR="00064A2F" w:rsidRPr="009F65D8">
        <w:rPr>
          <w:rFonts w:ascii="Arial" w:hAnsi="Arial" w:cs="Arial"/>
        </w:rPr>
        <w:t> ready for observation under the microscope, as explained in the following picture.</w:t>
      </w:r>
      <w:sdt>
        <w:sdtPr>
          <w:rPr>
            <w:rFonts w:ascii="Arial" w:hAnsi="Arial" w:cs="Arial"/>
            <w:vertAlign w:val="superscript"/>
          </w:rPr>
          <w:id w:val="5482988"/>
          <w:citation/>
        </w:sdtPr>
        <w:sdtEndPr/>
        <w:sdtContent>
          <w:r w:rsidR="002C7580" w:rsidRPr="00292F7E">
            <w:rPr>
              <w:rFonts w:ascii="Arial" w:hAnsi="Arial" w:cs="Arial"/>
              <w:vertAlign w:val="superscript"/>
            </w:rPr>
            <w:fldChar w:fldCharType="begin"/>
          </w:r>
          <w:r w:rsidR="00106B23" w:rsidRPr="00292F7E">
            <w:rPr>
              <w:rFonts w:ascii="Arial" w:hAnsi="Arial" w:cs="Arial"/>
              <w:vertAlign w:val="superscript"/>
            </w:rPr>
            <w:instrText xml:space="preserve"> CITATION Pue15 \l 2058 </w:instrText>
          </w:r>
          <w:r w:rsidR="002C7580" w:rsidRPr="00292F7E">
            <w:rPr>
              <w:rFonts w:ascii="Arial" w:hAnsi="Arial" w:cs="Arial"/>
              <w:vertAlign w:val="superscript"/>
            </w:rPr>
            <w:fldChar w:fldCharType="separate"/>
          </w:r>
          <w:r w:rsidR="006C4907" w:rsidRPr="00292F7E">
            <w:rPr>
              <w:rFonts w:ascii="Arial" w:hAnsi="Arial" w:cs="Arial"/>
              <w:noProof/>
              <w:vertAlign w:val="superscript"/>
            </w:rPr>
            <w:t> (10)</w:t>
          </w:r>
          <w:r w:rsidR="002C7580" w:rsidRPr="00292F7E">
            <w:rPr>
              <w:rFonts w:ascii="Arial" w:hAnsi="Arial" w:cs="Arial"/>
              <w:vertAlign w:val="superscript"/>
            </w:rPr>
            <w:fldChar w:fldCharType="end"/>
          </w:r>
        </w:sdtContent>
      </w:sdt>
    </w:p>
    <w:p w:rsidR="003C5787" w:rsidRDefault="003C5787" w:rsidP="00291772">
      <w:pPr>
        <w:pStyle w:val="Sinespaciado"/>
        <w:jc w:val="both"/>
        <w:rPr>
          <w:rFonts w:ascii="Arial" w:hAnsi="Arial" w:cs="Arial"/>
          <w:vertAlign w:val="superscript"/>
        </w:rPr>
      </w:pPr>
    </w:p>
    <w:p w:rsidR="000E494D" w:rsidRPr="00E66D68" w:rsidRDefault="000E494D" w:rsidP="000E494D">
      <w:pPr>
        <w:pStyle w:val="Sinespaciado"/>
        <w:jc w:val="center"/>
        <w:rPr>
          <w:rFonts w:ascii="Arial" w:hAnsi="Arial" w:cs="Arial"/>
          <w:sz w:val="16"/>
          <w:szCs w:val="16"/>
          <w:vertAlign w:val="superscript"/>
        </w:rPr>
      </w:pPr>
      <w:r w:rsidRPr="00E66D68">
        <w:rPr>
          <w:rFonts w:ascii="Arial" w:hAnsi="Arial" w:cs="Arial"/>
          <w:sz w:val="16"/>
          <w:szCs w:val="16"/>
        </w:rPr>
        <w:t>Royalty 2. Process of liquid-based cytology. </w:t>
      </w:r>
    </w:p>
    <w:p w:rsidR="003C5787" w:rsidRPr="009F65D8" w:rsidRDefault="003C5787" w:rsidP="00821E00">
      <w:pPr>
        <w:pStyle w:val="Sinespaciado"/>
        <w:jc w:val="center"/>
        <w:rPr>
          <w:rFonts w:ascii="Arial" w:hAnsi="Arial" w:cs="Arial"/>
          <w:vertAlign w:val="superscript"/>
        </w:rPr>
      </w:pPr>
      <w:r w:rsidRPr="009F65D8">
        <w:rPr>
          <w:rFonts w:ascii="Arial" w:hAnsi="Arial" w:cs="Arial"/>
          <w:noProof/>
          <w:vertAlign w:val="superscript"/>
          <w:lang w:val="es-ES" w:eastAsia="es-ES"/>
        </w:rPr>
        <w:lastRenderedPageBreak/>
        <w:drawing>
          <wp:inline distT="0" distB="0" distL="0" distR="0">
            <wp:extent cx="2646512" cy="3252159"/>
            <wp:effectExtent l="0" t="0" r="0" b="5715"/>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0E494D" w:rsidRPr="00E66D68">
        <w:rPr>
          <w:rFonts w:ascii="Arial" w:hAnsi="Arial" w:cs="Arial"/>
          <w:sz w:val="16"/>
          <w:szCs w:val="16"/>
        </w:rPr>
        <w:t>Source. Own elaboration, photos taken of</w:t>
      </w:r>
      <w:r w:rsidR="00C40E37" w:rsidRPr="00E66D68">
        <w:rPr>
          <w:rFonts w:ascii="Arial" w:hAnsi="Arial" w:cs="Arial"/>
          <w:sz w:val="16"/>
          <w:szCs w:val="16"/>
        </w:rPr>
        <w:t> Http://www.laboratoriopatologia.com/services-list/radiology/</w:t>
      </w:r>
    </w:p>
    <w:p w:rsidR="003C5787" w:rsidRPr="009F65D8" w:rsidRDefault="003C5787" w:rsidP="00291772">
      <w:pPr>
        <w:pStyle w:val="Sinespaciado"/>
        <w:jc w:val="both"/>
        <w:rPr>
          <w:rFonts w:ascii="Arial" w:hAnsi="Arial" w:cs="Arial"/>
        </w:rPr>
      </w:pPr>
      <w:r w:rsidRPr="009F65D8">
        <w:rPr>
          <w:rFonts w:ascii="Arial" w:hAnsi="Arial" w:cs="Arial"/>
        </w:rPr>
        <w:t>         </w:t>
      </w:r>
    </w:p>
    <w:p w:rsidR="00BF2FB0" w:rsidRPr="009F65D8" w:rsidRDefault="00E61650" w:rsidP="00E66D68">
      <w:pPr>
        <w:jc w:val="center"/>
        <w:outlineLvl w:val="0"/>
        <w:rPr>
          <w:rFonts w:ascii="Arial" w:hAnsi="Arial" w:cs="Arial"/>
        </w:rPr>
      </w:pPr>
      <w:r w:rsidRPr="009F65D8">
        <w:rPr>
          <w:rFonts w:ascii="Arial" w:hAnsi="Arial" w:cs="Arial"/>
        </w:rPr>
        <w:t>VISU</w:t>
      </w:r>
      <w:r w:rsidR="00E821BD">
        <w:rPr>
          <w:rFonts w:ascii="Arial" w:hAnsi="Arial" w:cs="Arial"/>
        </w:rPr>
        <w:t>AL INSPECTION WITH ACETIC ACID 5% and </w:t>
      </w:r>
      <w:r w:rsidR="002E71B6" w:rsidRPr="009F65D8">
        <w:rPr>
          <w:rFonts w:ascii="Arial" w:hAnsi="Arial" w:cs="Arial"/>
        </w:rPr>
        <w:t xml:space="preserve"> LUGOL'S SOLUTION TO THE</w:t>
      </w:r>
      <w:r w:rsidR="00E821BD">
        <w:rPr>
          <w:rFonts w:ascii="Arial" w:hAnsi="Arial" w:cs="Arial"/>
        </w:rPr>
        <w:t xml:space="preserve"> 10%</w:t>
      </w:r>
    </w:p>
    <w:p w:rsidR="00106B23" w:rsidRDefault="00BF2FB0" w:rsidP="002F0191">
      <w:pPr>
        <w:pStyle w:val="Sinespaciado"/>
        <w:jc w:val="both"/>
        <w:rPr>
          <w:rFonts w:ascii="Arial" w:hAnsi="Arial" w:cs="Arial"/>
          <w:lang w:val="es-ES"/>
        </w:rPr>
      </w:pPr>
      <w:r w:rsidRPr="009F65D8">
        <w:rPr>
          <w:rFonts w:ascii="Arial" w:hAnsi="Arial" w:cs="Arial"/>
          <w:lang w:val="es-ES"/>
        </w:rPr>
        <w:t>The visual inspection with acetic acid (VIA) implies a direct revision of the cervix under bright light (preferably a halogen bulb lamp) minute after application of a 5% acetic acid diluted acid. This technique is being used as a screening test for cervical cancer in many low- and middle-income countries. The test is simple, feasible and affordable. Allows immediate results for the diagnosis and/or treatment to HIV-positive women. </w:t>
      </w:r>
      <w:r w:rsidR="00FD0DED">
        <w:rPr>
          <w:rFonts w:ascii="Arial" w:hAnsi="Arial" w:cs="Arial"/>
          <w:lang w:val="es-ES"/>
        </w:rPr>
        <w:t> With a </w:t>
      </w:r>
      <w:r w:rsidRPr="009F65D8">
        <w:rPr>
          <w:rFonts w:ascii="Arial" w:hAnsi="Arial" w:cs="Arial"/>
          <w:lang w:val="es-ES"/>
        </w:rPr>
        <w:t> sensitivity of 30 to 87% and a specificity of 86-100%. </w:t>
      </w:r>
      <w:sdt>
        <w:sdtPr>
          <w:rPr>
            <w:rFonts w:ascii="Arial" w:hAnsi="Arial" w:cs="Arial"/>
            <w:vertAlign w:val="superscript"/>
            <w:lang w:val="es-ES"/>
          </w:rPr>
          <w:id w:val="5482989"/>
          <w:citation/>
        </w:sdtPr>
        <w:sdtEndPr/>
        <w:sdtContent>
          <w:r w:rsidR="002C7580" w:rsidRPr="00292F7E">
            <w:rPr>
              <w:rFonts w:ascii="Arial" w:hAnsi="Arial" w:cs="Arial"/>
              <w:vertAlign w:val="superscript"/>
              <w:lang w:val="es-ES"/>
            </w:rPr>
            <w:fldChar w:fldCharType="begin"/>
          </w:r>
          <w:r w:rsidR="000D3B1B" w:rsidRPr="00292F7E">
            <w:rPr>
              <w:rFonts w:ascii="Arial" w:hAnsi="Arial" w:cs="Arial"/>
              <w:vertAlign w:val="superscript"/>
            </w:rPr>
            <w:instrText xml:space="preserve"> CITATION Mit13 \l 2058 </w:instrText>
          </w:r>
          <w:r w:rsidR="002C7580" w:rsidRPr="00292F7E">
            <w:rPr>
              <w:rFonts w:ascii="Arial" w:hAnsi="Arial" w:cs="Arial"/>
              <w:vertAlign w:val="superscript"/>
              <w:lang w:val="es-ES"/>
            </w:rPr>
            <w:fldChar w:fldCharType="separate"/>
          </w:r>
          <w:r w:rsidR="006C4907" w:rsidRPr="00292F7E">
            <w:rPr>
              <w:rFonts w:ascii="Arial" w:hAnsi="Arial" w:cs="Arial"/>
              <w:noProof/>
              <w:vertAlign w:val="superscript"/>
            </w:rPr>
            <w:t>(11)</w:t>
          </w:r>
          <w:r w:rsidR="002C7580" w:rsidRPr="00292F7E">
            <w:rPr>
              <w:rFonts w:ascii="Arial" w:hAnsi="Arial" w:cs="Arial"/>
              <w:vertAlign w:val="superscript"/>
              <w:lang w:val="es-ES"/>
            </w:rPr>
            <w:fldChar w:fldCharType="end"/>
          </w:r>
        </w:sdtContent>
      </w:sdt>
    </w:p>
    <w:p w:rsidR="00106B23" w:rsidRPr="009F65D8" w:rsidRDefault="00106B23" w:rsidP="002F0191">
      <w:pPr>
        <w:pStyle w:val="Sinespaciado"/>
        <w:jc w:val="both"/>
        <w:rPr>
          <w:rFonts w:ascii="Arial" w:hAnsi="Arial" w:cs="Arial"/>
          <w:lang w:val="es-ES"/>
        </w:rPr>
      </w:pPr>
    </w:p>
    <w:p w:rsidR="00396029" w:rsidRDefault="004B7CA8" w:rsidP="002F0191">
      <w:pPr>
        <w:pStyle w:val="Sinespaciado"/>
        <w:jc w:val="both"/>
        <w:rPr>
          <w:rFonts w:ascii="Arial" w:hAnsi="Arial" w:cs="Arial"/>
        </w:rPr>
        <w:sectPr w:rsidR="00396029" w:rsidSect="0066524D">
          <w:type w:val="continuous"/>
          <w:pgSz w:w="12240" w:h="15840"/>
          <w:pgMar w:top="1417" w:right="1701" w:bottom="1417" w:left="1701" w:header="708" w:footer="708" w:gutter="0"/>
          <w:cols w:num="2" w:space="708"/>
          <w:docGrid w:linePitch="360"/>
        </w:sectPr>
      </w:pPr>
      <w:r w:rsidRPr="009F65D8">
        <w:rPr>
          <w:rFonts w:ascii="Arial" w:hAnsi="Arial" w:cs="Arial"/>
        </w:rPr>
        <w:t xml:space="preserve">The acetic acid 5% causes a reversible coagulation or precipitation of the cellular proteins. Also causes swelling of the epithelial tissue, in particular of the columnar epithelium and from any area of the squamous epithelium. It also causes dehydration of the cells and helps to coagulate and clear the mucus in the cervix. The normal squamous epithelium </w:t>
      </w:r>
      <w:r w:rsidRPr="009F65D8">
        <w:rPr>
          <w:rFonts w:ascii="Arial" w:hAnsi="Arial" w:cs="Arial"/>
        </w:rPr>
        <w:lastRenderedPageBreak/>
        <w:t>is pink and the columnar epithelium is red, due to the reflection of the light of the underlying stroma highly vascularized. If the epithelium contains a lot of cellular proteins, acetic acid coagulates these proteins that can obscure the color of the stroma. This acetowhite reaction</w:t>
      </w:r>
      <w:r w:rsidR="002F0191" w:rsidRPr="009F65D8">
        <w:rPr>
          <w:rFonts w:ascii="Arial" w:hAnsi="Arial" w:cs="Arial"/>
        </w:rPr>
        <w:t> produces a noticeable effect that contrasts with the pinkish color of the surrounding normal squamous epithelium, an effect that is commonly distinguished with the naked eye. The effect of acetic acid depends upon the amount of cellular proteins present in the epithelium. The areas in which there is a nuclear activity and DNA content in</w:t>
      </w:r>
      <w:r w:rsidR="00E66D68">
        <w:rPr>
          <w:rStyle w:val="Refdenotaalpie"/>
          <w:rFonts w:ascii="Arial" w:hAnsi="Arial" w:cs="Arial"/>
        </w:rPr>
        <w:footnoteReference w:id="9"/>
      </w:r>
      <w:r w:rsidR="00E66D68" w:rsidRPr="009F65D8">
        <w:rPr>
          <w:rFonts w:ascii="Arial" w:hAnsi="Arial" w:cs="Arial"/>
        </w:rPr>
        <w:t> high show changes more intense white color. When acetic acid is applied to normal squamous epithelium, </w:t>
      </w:r>
    </w:p>
    <w:p w:rsidR="00292F7E" w:rsidRDefault="00E66D68" w:rsidP="002F0191">
      <w:pPr>
        <w:pStyle w:val="Sinespaciado"/>
        <w:jc w:val="both"/>
        <w:rPr>
          <w:rFonts w:ascii="Arial" w:hAnsi="Arial" w:cs="Arial"/>
        </w:rPr>
        <w:sectPr w:rsidR="00292F7E" w:rsidSect="00396029">
          <w:type w:val="continuous"/>
          <w:pgSz w:w="12240" w:h="15840"/>
          <w:pgMar w:top="1417" w:right="1701" w:bottom="1417" w:left="1701" w:header="708" w:footer="708" w:gutter="0"/>
          <w:cols w:num="2" w:space="708"/>
          <w:docGrid w:linePitch="360"/>
        </w:sectPr>
      </w:pPr>
      <w:r w:rsidRPr="009F65D8">
        <w:rPr>
          <w:rFonts w:ascii="Arial" w:hAnsi="Arial" w:cs="Arial"/>
        </w:rPr>
        <w:lastRenderedPageBreak/>
        <w:t xml:space="preserve"> Little coagulation occurs in the superficial layer of cells, where the </w:t>
      </w:r>
      <w:r w:rsidRPr="009F65D8">
        <w:rPr>
          <w:rFonts w:ascii="Arial" w:hAnsi="Arial" w:cs="Arial"/>
        </w:rPr>
        <w:lastRenderedPageBreak/>
        <w:t>nuclei are scarce.</w:t>
      </w:r>
    </w:p>
    <w:p w:rsidR="000D3B1B" w:rsidRPr="000D3B1B" w:rsidRDefault="002F0191" w:rsidP="002F0191">
      <w:pPr>
        <w:pStyle w:val="Sinespaciado"/>
        <w:jc w:val="both"/>
        <w:rPr>
          <w:rFonts w:ascii="Arial" w:hAnsi="Arial" w:cs="Arial"/>
          <w:vertAlign w:val="superscript"/>
        </w:rPr>
      </w:pPr>
      <w:r w:rsidRPr="009F65D8">
        <w:rPr>
          <w:rFonts w:ascii="Arial" w:hAnsi="Arial" w:cs="Arial"/>
        </w:rPr>
        <w:lastRenderedPageBreak/>
        <w:t>Though the </w:t>
      </w:r>
      <w:r w:rsidR="004B7CA8" w:rsidRPr="009F65D8">
        <w:rPr>
          <w:rFonts w:ascii="Arial" w:hAnsi="Arial" w:cs="Arial"/>
        </w:rPr>
        <w:t>deeper cells</w:t>
      </w:r>
      <w:r w:rsidRPr="009F65D8">
        <w:rPr>
          <w:rFonts w:ascii="Arial" w:hAnsi="Arial" w:cs="Arial"/>
        </w:rPr>
        <w:t> contain </w:t>
      </w:r>
      <w:r w:rsidR="004B7CA8" w:rsidRPr="009F65D8">
        <w:rPr>
          <w:rFonts w:ascii="Arial" w:hAnsi="Arial" w:cs="Arial"/>
        </w:rPr>
        <w:t>more</w:t>
      </w:r>
      <w:r w:rsidRPr="009F65D8">
        <w:rPr>
          <w:rFonts w:ascii="Arial" w:hAnsi="Arial" w:cs="Arial"/>
        </w:rPr>
        <w:t> nuclear protein, the acetic acid does not penetrate sufficiently and, hence, the resulting precipitation does not overshadow the color of the underlying stroma. The CIN</w:t>
      </w:r>
      <w:r w:rsidR="00CE4A3B">
        <w:rPr>
          <w:rStyle w:val="Refdenotaalpie"/>
          <w:rFonts w:ascii="Arial" w:hAnsi="Arial" w:cs="Arial"/>
        </w:rPr>
        <w:footnoteReference w:id="10"/>
      </w:r>
      <w:r w:rsidRPr="009F65D8">
        <w:rPr>
          <w:rFonts w:ascii="Arial" w:hAnsi="Arial" w:cs="Arial"/>
        </w:rPr>
        <w:t> and invasive cancer undergo maximal coagulation due to their higher content of nuclear protein (in view of the large number of undifferentiated cells contained in the epithelium) and prevent light from passing through the epithelium. As a result, the subepithelial vascular pattern is hidden and the epithelium takes a dense white color. In the event of a NIC, the acetowhitening  is restricted to the transformation zone close to the squamocolumnar junction </w:t>
      </w:r>
      <w:r w:rsidR="00FA4A86" w:rsidRPr="009F65D8">
        <w:rPr>
          <w:rFonts w:ascii="Arial" w:hAnsi="Arial" w:cs="Arial"/>
        </w:rPr>
        <w:t>, while in the case of a cancer, this reaction often involves the entire cervix, as shown in the picture 3. </w:t>
      </w:r>
      <w:sdt>
        <w:sdtPr>
          <w:rPr>
            <w:rFonts w:ascii="Arial" w:hAnsi="Arial" w:cs="Arial"/>
            <w:vertAlign w:val="superscript"/>
          </w:rPr>
          <w:id w:val="5482990"/>
          <w:citation/>
        </w:sdtPr>
        <w:sdtEndPr/>
        <w:sdtContent>
          <w:r w:rsidR="002C7580" w:rsidRPr="00292F7E">
            <w:rPr>
              <w:rFonts w:ascii="Arial" w:hAnsi="Arial" w:cs="Arial"/>
              <w:vertAlign w:val="superscript"/>
            </w:rPr>
            <w:fldChar w:fldCharType="begin"/>
          </w:r>
          <w:r w:rsidR="000D3B1B" w:rsidRPr="00292F7E">
            <w:rPr>
              <w:rFonts w:ascii="Arial" w:hAnsi="Arial" w:cs="Arial"/>
              <w:vertAlign w:val="superscript"/>
            </w:rPr>
            <w:instrText xml:space="preserve"> CITATION San05 \l 2058 </w:instrText>
          </w:r>
          <w:r w:rsidR="002C7580" w:rsidRPr="00292F7E">
            <w:rPr>
              <w:rFonts w:ascii="Arial" w:hAnsi="Arial" w:cs="Arial"/>
              <w:vertAlign w:val="superscript"/>
            </w:rPr>
            <w:fldChar w:fldCharType="separate"/>
          </w:r>
          <w:r w:rsidR="006C4907" w:rsidRPr="00292F7E">
            <w:rPr>
              <w:rFonts w:ascii="Arial" w:hAnsi="Arial" w:cs="Arial"/>
              <w:noProof/>
              <w:vertAlign w:val="superscript"/>
            </w:rPr>
            <w:t>(12)</w:t>
          </w:r>
          <w:r w:rsidR="002C7580" w:rsidRPr="00292F7E">
            <w:rPr>
              <w:rFonts w:ascii="Arial" w:hAnsi="Arial" w:cs="Arial"/>
              <w:vertAlign w:val="superscript"/>
            </w:rPr>
            <w:fldChar w:fldCharType="end"/>
          </w:r>
        </w:sdtContent>
      </w:sdt>
    </w:p>
    <w:p w:rsidR="00292F7E" w:rsidRDefault="00292F7E" w:rsidP="00292F7E">
      <w:pPr>
        <w:pStyle w:val="Sinespaciado"/>
        <w:jc w:val="both"/>
        <w:rPr>
          <w:lang w:val="es-ES"/>
        </w:rPr>
      </w:pPr>
    </w:p>
    <w:p w:rsidR="00396029" w:rsidRPr="00396029" w:rsidRDefault="00292F7E" w:rsidP="00396029">
      <w:pPr>
        <w:pStyle w:val="Sinespaciado"/>
        <w:jc w:val="both"/>
        <w:rPr>
          <w:rFonts w:ascii="Arial" w:hAnsi="Arial" w:cs="Arial"/>
          <w:vertAlign w:val="superscript"/>
        </w:rPr>
        <w:sectPr w:rsidR="00396029" w:rsidRPr="00396029" w:rsidSect="00396029">
          <w:type w:val="continuous"/>
          <w:pgSz w:w="12240" w:h="15840"/>
          <w:pgMar w:top="1417" w:right="1701" w:bottom="1417" w:left="1701" w:header="708" w:footer="708" w:gutter="0"/>
          <w:cols w:num="2" w:space="708"/>
          <w:docGrid w:linePitch="360"/>
        </w:sectPr>
      </w:pPr>
      <w:r w:rsidRPr="009F65D8">
        <w:rPr>
          <w:rFonts w:ascii="Arial" w:hAnsi="Arial" w:cs="Arial"/>
        </w:rPr>
        <w:t>The inspection with Lugol's solution to the 10% is a  direct screening test which has a sensitivity of 87.2% </w:t>
      </w:r>
      <w:r w:rsidRPr="009F65D8">
        <w:rPr>
          <w:rFonts w:ascii="Arial" w:eastAsia="MS Gothic" w:hAnsi="Arial" w:cs="Arial"/>
        </w:rPr>
        <w:t>and a</w:t>
      </w:r>
      <w:r w:rsidRPr="009F65D8">
        <w:rPr>
          <w:rFonts w:ascii="Arial" w:hAnsi="Arial" w:cs="Arial"/>
        </w:rPr>
        <w:t xml:space="preserve"> specificity of 84.7%. The metaplastic squamous epithelium contains glycogen while CIN and invasive cancer contain little or no glycogen. The columnar epithelium does not contain glycogen, as well as the immature squamous metaplastic epithelium or, occasionally, you can hold it in low amounts. For its part, the iodine is glucofilico and, consequently, the application of an iodine solution gives rise to the iodine uptake by the epithelia that contain glycogen. Thus, the normal squamous epithelium, which if it contains glycogen, stained mahogany brown or black after the lugolizacion. In contrast, the columnar epithelium does not capture the iodine and not stained, and even may appear slightly discolored due to a thin layer of Lugol's solution. Similarly, the areas of immature squamous metaplastic epithelium may not stain with iodine or </w:t>
      </w:r>
      <w:r w:rsidRPr="009F65D8">
        <w:rPr>
          <w:rFonts w:ascii="Arial" w:hAnsi="Arial" w:cs="Arial"/>
        </w:rPr>
        <w:lastRenderedPageBreak/>
        <w:t>dye in a partial way. If there is scaling (or erosion) of superficial and intermediate cell layers as a result of inflammatory conditions of the squamous epithelium, these areas do not stain with iodine and remain colorless clearly against a black background, or mahogany. Areas of CIN and invasive cancer do not take up iodine (as they lack glycogen) and appear as thick mustard yellow or saffron. Areas with leukoplakia (hyperkeratosis) do not stain with iodine. As for the condylomas can, at times, partially stained with iodine, as can be seen in the image 4. </w:t>
      </w:r>
      <w:sdt>
        <w:sdtPr>
          <w:rPr>
            <w:rFonts w:ascii="Arial" w:hAnsi="Arial" w:cs="Arial"/>
            <w:vertAlign w:val="superscript"/>
          </w:rPr>
          <w:id w:val="5482991"/>
          <w:citation/>
        </w:sdtPr>
        <w:sdtEndPr/>
        <w:sdtContent>
          <w:r w:rsidR="002C7580" w:rsidRPr="00292F7E">
            <w:rPr>
              <w:rFonts w:ascii="Arial" w:hAnsi="Arial" w:cs="Arial"/>
              <w:vertAlign w:val="superscript"/>
            </w:rPr>
            <w:fldChar w:fldCharType="begin"/>
          </w:r>
          <w:r w:rsidRPr="00292F7E">
            <w:rPr>
              <w:rFonts w:ascii="Arial" w:hAnsi="Arial" w:cs="Arial"/>
              <w:vertAlign w:val="superscript"/>
            </w:rPr>
            <w:instrText xml:space="preserve"> CITATION San03 \l 2058 </w:instrText>
          </w:r>
          <w:r w:rsidR="002C7580" w:rsidRPr="00292F7E">
            <w:rPr>
              <w:rFonts w:ascii="Arial" w:hAnsi="Arial" w:cs="Arial"/>
              <w:vertAlign w:val="superscript"/>
            </w:rPr>
            <w:fldChar w:fldCharType="separate"/>
          </w:r>
          <w:r w:rsidRPr="00292F7E">
            <w:rPr>
              <w:rFonts w:ascii="Arial" w:hAnsi="Arial" w:cs="Arial"/>
              <w:noProof/>
              <w:vertAlign w:val="superscript"/>
            </w:rPr>
            <w:t>(13)</w:t>
          </w:r>
          <w:r w:rsidR="002C7580" w:rsidRPr="00292F7E">
            <w:rPr>
              <w:rFonts w:ascii="Arial" w:hAnsi="Arial" w:cs="Arial"/>
              <w:vertAlign w:val="superscript"/>
            </w:rPr>
            <w:fldChar w:fldCharType="end"/>
          </w:r>
        </w:sdtContent>
      </w:sdt>
    </w:p>
    <w:p w:rsidR="00292F7E" w:rsidRPr="00292F7E" w:rsidRDefault="00292F7E" w:rsidP="00292F7E">
      <w:pPr>
        <w:rPr>
          <w:lang w:val="es-ES"/>
        </w:rPr>
        <w:sectPr w:rsidR="00292F7E" w:rsidRPr="00292F7E" w:rsidSect="00292F7E">
          <w:type w:val="continuous"/>
          <w:pgSz w:w="12240" w:h="15840"/>
          <w:pgMar w:top="1417" w:right="1701" w:bottom="1417" w:left="1701" w:header="708" w:footer="708" w:gutter="0"/>
          <w:cols w:space="708"/>
          <w:docGrid w:linePitch="360"/>
        </w:sectPr>
      </w:pPr>
    </w:p>
    <w:p w:rsidR="00292F7E" w:rsidRDefault="00292F7E" w:rsidP="00292F7E">
      <w:pPr>
        <w:pStyle w:val="Sinespaciado"/>
        <w:outlineLvl w:val="0"/>
        <w:rPr>
          <w:rFonts w:ascii="Arial" w:hAnsi="Arial" w:cs="Arial"/>
          <w:sz w:val="20"/>
          <w:szCs w:val="20"/>
          <w:lang w:val="es-ES"/>
        </w:rPr>
        <w:sectPr w:rsidR="00292F7E" w:rsidSect="00104F19">
          <w:type w:val="continuous"/>
          <w:pgSz w:w="12240" w:h="15840"/>
          <w:pgMar w:top="1417" w:right="1701" w:bottom="1417" w:left="1701" w:header="708" w:footer="708" w:gutter="0"/>
          <w:cols w:num="2" w:space="708"/>
          <w:docGrid w:linePitch="360"/>
        </w:sectPr>
      </w:pPr>
    </w:p>
    <w:p w:rsidR="00292F7E" w:rsidRDefault="00292F7E" w:rsidP="00292F7E">
      <w:pPr>
        <w:pStyle w:val="Sinespaciado"/>
        <w:rPr>
          <w:rFonts w:ascii="Arial" w:hAnsi="Arial" w:cs="Arial"/>
          <w:lang w:val="es-ES"/>
        </w:rPr>
        <w:sectPr w:rsidR="00292F7E" w:rsidSect="00292F7E">
          <w:type w:val="continuous"/>
          <w:pgSz w:w="12240" w:h="15840"/>
          <w:pgMar w:top="1417" w:right="1701" w:bottom="1417" w:left="1701" w:header="708" w:footer="708" w:gutter="0"/>
          <w:cols w:space="708"/>
          <w:docGrid w:linePitch="360"/>
        </w:sectPr>
      </w:pPr>
    </w:p>
    <w:p w:rsidR="00396029" w:rsidRDefault="00396029" w:rsidP="00396029">
      <w:pPr>
        <w:pStyle w:val="Sinespaciado"/>
        <w:jc w:val="center"/>
        <w:outlineLvl w:val="0"/>
        <w:rPr>
          <w:rFonts w:ascii="Arial" w:hAnsi="Arial" w:cs="Arial"/>
          <w:sz w:val="16"/>
          <w:szCs w:val="16"/>
          <w:lang w:val="es-ES"/>
        </w:rPr>
      </w:pPr>
      <w:r w:rsidRPr="00E66D68">
        <w:rPr>
          <w:rFonts w:ascii="Arial" w:hAnsi="Arial" w:cs="Arial"/>
          <w:sz w:val="16"/>
          <w:szCs w:val="16"/>
          <w:lang w:val="es-ES"/>
        </w:rPr>
        <w:lastRenderedPageBreak/>
        <w:t>Royalty 3. Clinical Reference Chart for visual inspection after application of acetic acid.</w:t>
      </w:r>
    </w:p>
    <w:p w:rsidR="000A7D48" w:rsidRPr="00E66D68" w:rsidRDefault="000A7D48" w:rsidP="00396029">
      <w:pPr>
        <w:pStyle w:val="Sinespaciado"/>
        <w:jc w:val="center"/>
        <w:outlineLvl w:val="0"/>
        <w:rPr>
          <w:rFonts w:ascii="Arial" w:hAnsi="Arial" w:cs="Arial"/>
          <w:sz w:val="16"/>
          <w:szCs w:val="16"/>
          <w:lang w:val="es-ES"/>
        </w:rPr>
      </w:pPr>
    </w:p>
    <w:p w:rsidR="00396029" w:rsidRDefault="00EE4856" w:rsidP="00396029">
      <w:pPr>
        <w:pStyle w:val="Sinespaciado"/>
        <w:jc w:val="center"/>
        <w:rPr>
          <w:rFonts w:ascii="Arial" w:hAnsi="Arial" w:cs="Arial"/>
          <w:vertAlign w:val="superscript"/>
          <w:lang w:val="es-ES"/>
        </w:rPr>
      </w:pPr>
      <w:r>
        <w:rPr>
          <w:rFonts w:ascii="Arial" w:hAnsi="Arial" w:cs="Arial"/>
          <w:noProof/>
          <w:vertAlign w:val="superscript"/>
          <w:lang w:eastAsia="es-MX"/>
        </w:rPr>
        <w:pict>
          <v:rect id="_x0000_s1026" style="position:absolute;left:0;text-align:left;margin-left:281.75pt;margin-top:173.6pt;width:113.45pt;height:34pt;z-index:251658240" stroked="f"/>
        </w:pict>
      </w:r>
      <w:r w:rsidR="00396029" w:rsidRPr="009F65D8">
        <w:rPr>
          <w:rFonts w:ascii="Arial" w:hAnsi="Arial" w:cs="Arial"/>
          <w:noProof/>
          <w:vertAlign w:val="superscript"/>
          <w:lang w:val="es-ES" w:eastAsia="es-ES"/>
        </w:rPr>
        <w:drawing>
          <wp:inline distT="0" distB="0" distL="0" distR="0">
            <wp:extent cx="4588415" cy="3126980"/>
            <wp:effectExtent l="19050" t="0" r="2635" b="0"/>
            <wp:docPr id="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l="16542" t="19705" r="18061" b="9046"/>
                    <a:stretch>
                      <a:fillRect/>
                    </a:stretch>
                  </pic:blipFill>
                  <pic:spPr bwMode="auto">
                    <a:xfrm>
                      <a:off x="0" y="0"/>
                      <a:ext cx="4587285" cy="3126210"/>
                    </a:xfrm>
                    <a:prstGeom prst="rect">
                      <a:avLst/>
                    </a:prstGeom>
                    <a:noFill/>
                    <a:ln w="9525">
                      <a:noFill/>
                      <a:miter lim="800000"/>
                      <a:headEnd/>
                      <a:tailEnd/>
                    </a:ln>
                  </pic:spPr>
                </pic:pic>
              </a:graphicData>
            </a:graphic>
          </wp:inline>
        </w:drawing>
      </w:r>
      <w:r w:rsidR="00396029">
        <w:rPr>
          <w:rStyle w:val="Refdenotaalpie"/>
          <w:rFonts w:ascii="Arial" w:hAnsi="Arial" w:cs="Arial"/>
          <w:lang w:val="es-ES"/>
        </w:rPr>
        <w:footnoteReference w:id="11"/>
      </w:r>
    </w:p>
    <w:p w:rsidR="00396029" w:rsidRPr="00E66D68" w:rsidRDefault="00396029" w:rsidP="00396029">
      <w:pPr>
        <w:pStyle w:val="Sinespaciado"/>
        <w:jc w:val="center"/>
        <w:outlineLvl w:val="0"/>
        <w:rPr>
          <w:rFonts w:ascii="Arial" w:hAnsi="Arial" w:cs="Arial"/>
          <w:sz w:val="16"/>
          <w:szCs w:val="16"/>
          <w:lang w:val="es-ES"/>
        </w:rPr>
      </w:pPr>
      <w:r w:rsidRPr="00E66D68">
        <w:rPr>
          <w:rFonts w:ascii="Arial" w:hAnsi="Arial" w:cs="Arial"/>
          <w:sz w:val="16"/>
          <w:szCs w:val="16"/>
          <w:lang w:val="es-ES"/>
        </w:rPr>
        <w:t>Source: R. Sankaranarayanan, Ramani S. Wesley. Manual for the screening of cervical neoplasia (Technical Report 41)</w:t>
      </w:r>
    </w:p>
    <w:p w:rsidR="000D3B1B" w:rsidRDefault="000D3B1B" w:rsidP="002F0191">
      <w:pPr>
        <w:pStyle w:val="Sinespaciado"/>
        <w:jc w:val="both"/>
        <w:rPr>
          <w:rFonts w:ascii="Arial" w:hAnsi="Arial" w:cs="Arial"/>
        </w:rPr>
      </w:pPr>
    </w:p>
    <w:p w:rsidR="00396029" w:rsidRPr="009F65D8" w:rsidRDefault="00396029" w:rsidP="002F0191">
      <w:pPr>
        <w:pStyle w:val="Sinespaciado"/>
        <w:jc w:val="both"/>
        <w:rPr>
          <w:rFonts w:ascii="Arial" w:hAnsi="Arial" w:cs="Arial"/>
        </w:rPr>
      </w:pPr>
    </w:p>
    <w:p w:rsidR="0051128D" w:rsidRDefault="00824996" w:rsidP="00824996">
      <w:pPr>
        <w:pStyle w:val="Sinespaciado"/>
        <w:jc w:val="center"/>
        <w:rPr>
          <w:rFonts w:ascii="Arial" w:hAnsi="Arial" w:cs="Arial"/>
          <w:sz w:val="16"/>
          <w:szCs w:val="16"/>
        </w:rPr>
      </w:pPr>
      <w:r w:rsidRPr="00E66D68">
        <w:rPr>
          <w:rFonts w:ascii="Arial" w:hAnsi="Arial" w:cs="Arial"/>
          <w:sz w:val="16"/>
          <w:szCs w:val="16"/>
        </w:rPr>
        <w:t>Royalty 4. Clinical Reference Chart for Visual Inspection after applying the yodoyodurada of Lugol's solution.</w:t>
      </w:r>
    </w:p>
    <w:p w:rsidR="000A7D48" w:rsidRPr="00E66D68" w:rsidRDefault="000A7D48" w:rsidP="00824996">
      <w:pPr>
        <w:pStyle w:val="Sinespaciado"/>
        <w:jc w:val="center"/>
        <w:rPr>
          <w:rFonts w:ascii="Arial" w:hAnsi="Arial" w:cs="Arial"/>
          <w:sz w:val="16"/>
          <w:szCs w:val="16"/>
        </w:rPr>
      </w:pPr>
    </w:p>
    <w:p w:rsidR="008E50FB" w:rsidRDefault="00EE4856" w:rsidP="008E50FB">
      <w:pPr>
        <w:pStyle w:val="Sinespaciado"/>
        <w:jc w:val="center"/>
        <w:rPr>
          <w:rFonts w:ascii="Arial" w:hAnsi="Arial" w:cs="Arial"/>
          <w:vertAlign w:val="superscript"/>
        </w:rPr>
      </w:pPr>
      <w:r>
        <w:rPr>
          <w:rFonts w:ascii="Arial" w:hAnsi="Arial" w:cs="Arial"/>
          <w:noProof/>
          <w:vertAlign w:val="superscript"/>
          <w:lang w:eastAsia="es-MX"/>
        </w:rPr>
        <w:pict>
          <v:rect id="_x0000_s1027" style="position:absolute;left:0;text-align:left;margin-left:286.3pt;margin-top:181.3pt;width:113.45pt;height:34pt;z-index:251659264" stroked="f"/>
        </w:pict>
      </w:r>
      <w:r w:rsidR="008E50FB" w:rsidRPr="009F65D8">
        <w:rPr>
          <w:rFonts w:ascii="Arial" w:hAnsi="Arial" w:cs="Arial"/>
          <w:noProof/>
          <w:lang w:val="es-ES" w:eastAsia="es-ES"/>
        </w:rPr>
        <w:drawing>
          <wp:inline distT="0" distB="0" distL="0" distR="0">
            <wp:extent cx="4867482" cy="3242931"/>
            <wp:effectExtent l="19050" t="0" r="9318"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l="16162" t="20132" r="17741" b="9652"/>
                    <a:stretch>
                      <a:fillRect/>
                    </a:stretch>
                  </pic:blipFill>
                  <pic:spPr bwMode="auto">
                    <a:xfrm>
                      <a:off x="0" y="0"/>
                      <a:ext cx="4867482" cy="3242931"/>
                    </a:xfrm>
                    <a:prstGeom prst="rect">
                      <a:avLst/>
                    </a:prstGeom>
                    <a:noFill/>
                    <a:ln w="9525">
                      <a:noFill/>
                      <a:miter lim="800000"/>
                      <a:headEnd/>
                      <a:tailEnd/>
                    </a:ln>
                  </pic:spPr>
                </pic:pic>
              </a:graphicData>
            </a:graphic>
          </wp:inline>
        </w:drawing>
      </w:r>
      <w:r w:rsidR="00821E00">
        <w:rPr>
          <w:rStyle w:val="Refdenotaalpie"/>
          <w:rFonts w:ascii="Arial" w:hAnsi="Arial" w:cs="Arial"/>
        </w:rPr>
        <w:footnoteReference w:id="12"/>
      </w:r>
    </w:p>
    <w:p w:rsidR="002C5C2F" w:rsidRPr="000A7D48" w:rsidRDefault="00824996" w:rsidP="000A7D48">
      <w:pPr>
        <w:pStyle w:val="Sinespaciado"/>
        <w:jc w:val="center"/>
        <w:rPr>
          <w:rFonts w:ascii="Arial" w:hAnsi="Arial" w:cs="Arial"/>
          <w:sz w:val="16"/>
          <w:szCs w:val="16"/>
          <w:lang w:val="es-ES"/>
        </w:rPr>
      </w:pPr>
      <w:r w:rsidRPr="00E66D68">
        <w:rPr>
          <w:rFonts w:ascii="Arial" w:hAnsi="Arial" w:cs="Arial"/>
          <w:sz w:val="16"/>
          <w:szCs w:val="16"/>
          <w:lang w:val="es-ES"/>
        </w:rPr>
        <w:t>Source: R. Sankaranarayanan, Ramani S. Wesley. Manual for the screening of</w:t>
      </w:r>
      <w:r w:rsidR="000A7D48">
        <w:rPr>
          <w:rFonts w:ascii="Arial" w:hAnsi="Arial" w:cs="Arial"/>
          <w:sz w:val="16"/>
          <w:szCs w:val="16"/>
          <w:lang w:val="es-ES"/>
        </w:rPr>
        <w:t> cervical neoplasia (Technical Report 41).</w:t>
      </w:r>
    </w:p>
    <w:p w:rsidR="00D66958" w:rsidRDefault="00D66958" w:rsidP="00E66D68">
      <w:pPr>
        <w:jc w:val="center"/>
        <w:outlineLvl w:val="0"/>
        <w:rPr>
          <w:rFonts w:ascii="Arial" w:hAnsi="Arial" w:cs="Arial"/>
        </w:rPr>
        <w:sectPr w:rsidR="00D66958" w:rsidSect="00292F7E">
          <w:type w:val="continuous"/>
          <w:pgSz w:w="12240" w:h="15840"/>
          <w:pgMar w:top="1417" w:right="1701" w:bottom="1417" w:left="1701" w:header="708" w:footer="708" w:gutter="0"/>
          <w:cols w:space="708"/>
          <w:docGrid w:linePitch="360"/>
        </w:sectPr>
      </w:pPr>
    </w:p>
    <w:p w:rsidR="00E61650" w:rsidRDefault="000429EB" w:rsidP="00E66D68">
      <w:pPr>
        <w:jc w:val="center"/>
        <w:outlineLvl w:val="0"/>
        <w:rPr>
          <w:rFonts w:ascii="Arial" w:hAnsi="Arial" w:cs="Arial"/>
        </w:rPr>
      </w:pPr>
      <w:r>
        <w:rPr>
          <w:rFonts w:ascii="Arial" w:hAnsi="Arial" w:cs="Arial"/>
        </w:rPr>
        <w:lastRenderedPageBreak/>
        <w:t xml:space="preserve"> CERVICAL </w:t>
      </w:r>
      <w:r w:rsidR="00E821BD">
        <w:rPr>
          <w:rFonts w:ascii="Arial" w:hAnsi="Arial" w:cs="Arial"/>
        </w:rPr>
        <w:t>COLPOSCOPY</w:t>
      </w:r>
    </w:p>
    <w:p w:rsidR="000429EB" w:rsidRDefault="000429EB" w:rsidP="002D12B9">
      <w:pPr>
        <w:jc w:val="both"/>
        <w:rPr>
          <w:rFonts w:ascii="Arial" w:hAnsi="Arial" w:cs="Arial"/>
          <w:vertAlign w:val="superscript"/>
        </w:rPr>
      </w:pPr>
      <w:r w:rsidRPr="000429EB">
        <w:rPr>
          <w:rFonts w:ascii="Arial" w:hAnsi="Arial" w:cs="Arial"/>
        </w:rPr>
        <w:t>The </w:t>
      </w:r>
      <w:r>
        <w:rPr>
          <w:rFonts w:ascii="Arial" w:hAnsi="Arial" w:cs="Arial"/>
        </w:rPr>
        <w:t>colposcopy is a procedure by which displays the epithelium and the plot sub</w:t>
      </w:r>
      <w:r w:rsidRPr="000429EB">
        <w:rPr>
          <w:rFonts w:ascii="Arial" w:hAnsi="Arial" w:cs="Arial"/>
        </w:rPr>
        <w:t> epithelial cancer of the cervix, a colposcope with amplifications from 7.5 X 30, 15X and X, contributes to the diagnosis, location, extent of</w:t>
      </w:r>
      <w:r>
        <w:rPr>
          <w:rFonts w:ascii="Arial" w:hAnsi="Arial" w:cs="Arial"/>
        </w:rPr>
        <w:t> injury and histologic features intraepithelial lesions.</w:t>
      </w:r>
      <w:r w:rsidR="002D12B9">
        <w:rPr>
          <w:rFonts w:ascii="Arial" w:hAnsi="Arial" w:cs="Arial"/>
        </w:rPr>
        <w:t> With a</w:t>
      </w:r>
      <w:r w:rsidR="002D12B9" w:rsidRPr="002D12B9">
        <w:rPr>
          <w:rFonts w:ascii="Arial" w:hAnsi="Arial" w:cs="Arial"/>
        </w:rPr>
        <w:t> sensitivity of 83% of the colposcopy</w:t>
      </w:r>
      <w:r w:rsidR="002D12B9">
        <w:rPr>
          <w:rFonts w:ascii="Arial" w:hAnsi="Arial" w:cs="Arial"/>
        </w:rPr>
        <w:t> and specificity of 86%.</w:t>
      </w:r>
      <w:sdt>
        <w:sdtPr>
          <w:rPr>
            <w:rFonts w:ascii="Arial" w:hAnsi="Arial" w:cs="Arial"/>
            <w:vertAlign w:val="superscript"/>
          </w:rPr>
          <w:id w:val="5482992"/>
          <w:citation/>
        </w:sdtPr>
        <w:sdtEndPr/>
        <w:sdtContent>
          <w:r w:rsidR="002C7580" w:rsidRPr="00292F7E">
            <w:rPr>
              <w:rFonts w:ascii="Arial" w:hAnsi="Arial" w:cs="Arial"/>
              <w:vertAlign w:val="superscript"/>
            </w:rPr>
            <w:fldChar w:fldCharType="begin"/>
          </w:r>
          <w:r w:rsidR="00745561" w:rsidRPr="00292F7E">
            <w:rPr>
              <w:rFonts w:ascii="Arial" w:hAnsi="Arial" w:cs="Arial"/>
              <w:vertAlign w:val="superscript"/>
            </w:rPr>
            <w:instrText xml:space="preserve"> CITATION Gon13 \l 2058 </w:instrText>
          </w:r>
          <w:r w:rsidR="002C7580" w:rsidRPr="00292F7E">
            <w:rPr>
              <w:rFonts w:ascii="Arial" w:hAnsi="Arial" w:cs="Arial"/>
              <w:vertAlign w:val="superscript"/>
            </w:rPr>
            <w:fldChar w:fldCharType="separate"/>
          </w:r>
          <w:r w:rsidR="006C4907" w:rsidRPr="00292F7E">
            <w:rPr>
              <w:rFonts w:ascii="Arial" w:hAnsi="Arial" w:cs="Arial"/>
              <w:noProof/>
              <w:vertAlign w:val="superscript"/>
            </w:rPr>
            <w:t> (14)</w:t>
          </w:r>
          <w:r w:rsidR="002C7580" w:rsidRPr="00292F7E">
            <w:rPr>
              <w:rFonts w:ascii="Arial" w:hAnsi="Arial" w:cs="Arial"/>
              <w:vertAlign w:val="superscript"/>
            </w:rPr>
            <w:fldChar w:fldCharType="end"/>
          </w:r>
        </w:sdtContent>
      </w:sdt>
    </w:p>
    <w:p w:rsidR="008F7DB5" w:rsidRDefault="008F7DB5" w:rsidP="008F7DB5">
      <w:pPr>
        <w:jc w:val="both"/>
        <w:rPr>
          <w:rFonts w:ascii="Arial" w:hAnsi="Arial" w:cs="Arial"/>
          <w:vertAlign w:val="superscript"/>
          <w:lang w:val="es-ES"/>
        </w:rPr>
      </w:pPr>
      <w:r>
        <w:rPr>
          <w:rFonts w:ascii="Arial" w:hAnsi="Arial" w:cs="Arial"/>
          <w:lang w:val="es-ES"/>
        </w:rPr>
        <w:t>The colposcopy is the gold standard to diagnose and guide the treatment of high-grade cervical neoplasia, but on the other hand, malfunctioning, without standards in education, training and practice of colposcopy. </w:t>
      </w:r>
      <w:sdt>
        <w:sdtPr>
          <w:rPr>
            <w:rFonts w:ascii="Arial" w:hAnsi="Arial" w:cs="Arial"/>
            <w:vertAlign w:val="superscript"/>
            <w:lang w:val="es-ES"/>
          </w:rPr>
          <w:id w:val="5482993"/>
          <w:citation/>
        </w:sdtPr>
        <w:sdtEndPr/>
        <w:sdtContent>
          <w:r w:rsidR="002C7580" w:rsidRPr="00292F7E">
            <w:rPr>
              <w:rFonts w:ascii="Arial" w:hAnsi="Arial" w:cs="Arial"/>
              <w:vertAlign w:val="superscript"/>
              <w:lang w:val="es-ES"/>
            </w:rPr>
            <w:fldChar w:fldCharType="begin"/>
          </w:r>
          <w:r w:rsidR="00745561" w:rsidRPr="00292F7E">
            <w:rPr>
              <w:rFonts w:ascii="Arial" w:hAnsi="Arial" w:cs="Arial"/>
              <w:vertAlign w:val="superscript"/>
            </w:rPr>
            <w:instrText xml:space="preserve"> CITATION Ulr18 \l 2058 </w:instrText>
          </w:r>
          <w:r w:rsidR="002C7580" w:rsidRPr="00292F7E">
            <w:rPr>
              <w:rFonts w:ascii="Arial" w:hAnsi="Arial" w:cs="Arial"/>
              <w:vertAlign w:val="superscript"/>
              <w:lang w:val="es-ES"/>
            </w:rPr>
            <w:fldChar w:fldCharType="separate"/>
          </w:r>
          <w:r w:rsidR="006C4907" w:rsidRPr="00292F7E">
            <w:rPr>
              <w:rFonts w:ascii="Arial" w:hAnsi="Arial" w:cs="Arial"/>
              <w:noProof/>
              <w:vertAlign w:val="superscript"/>
            </w:rPr>
            <w:t>(15)</w:t>
          </w:r>
          <w:r w:rsidR="002C7580" w:rsidRPr="00292F7E">
            <w:rPr>
              <w:rFonts w:ascii="Arial" w:hAnsi="Arial" w:cs="Arial"/>
              <w:vertAlign w:val="superscript"/>
              <w:lang w:val="es-ES"/>
            </w:rPr>
            <w:fldChar w:fldCharType="end"/>
          </w:r>
        </w:sdtContent>
      </w:sdt>
    </w:p>
    <w:p w:rsidR="00770DDC" w:rsidRPr="00745561" w:rsidRDefault="00CE5C76" w:rsidP="00CE5C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212121"/>
          <w:vertAlign w:val="superscript"/>
          <w:lang w:val="es-ES"/>
        </w:rPr>
      </w:pPr>
      <w:r>
        <w:rPr>
          <w:rFonts w:ascii="Arial" w:eastAsia="Times New Roman" w:hAnsi="Arial" w:cs="Arial"/>
          <w:color w:val="212121"/>
          <w:lang w:val="es-ES" w:eastAsia="es-MX"/>
        </w:rPr>
        <w:t>The colposcopy should be done only when lesions are present for cytological confirmation or reaction of polymerase chain reaction. The colposcopic findings</w:t>
      </w:r>
      <w:r w:rsidR="00770DDC" w:rsidRPr="00CE5C76">
        <w:rPr>
          <w:rFonts w:ascii="Arial" w:hAnsi="Arial" w:cs="Arial"/>
          <w:color w:val="212121"/>
          <w:lang w:val="es-ES"/>
        </w:rPr>
        <w:t> may vary depending on the types of HPV. In particular, work-related injuries the type 16 are more definitive and larger than other types. </w:t>
      </w:r>
      <w:r w:rsidR="00F61525">
        <w:rPr>
          <w:rStyle w:val="Refdenotaalpie"/>
          <w:rFonts w:ascii="Arial" w:hAnsi="Arial" w:cs="Arial"/>
          <w:color w:val="212121"/>
          <w:lang w:val="es-ES"/>
        </w:rPr>
        <w:footnoteReference w:id="13"/>
      </w:r>
      <w:sdt>
        <w:sdtPr>
          <w:rPr>
            <w:rFonts w:ascii="Arial" w:hAnsi="Arial" w:cs="Arial"/>
            <w:color w:val="212121"/>
            <w:vertAlign w:val="superscript"/>
            <w:lang w:val="es-ES"/>
          </w:rPr>
          <w:id w:val="5482995"/>
          <w:citation/>
        </w:sdtPr>
        <w:sdtEndPr/>
        <w:sdtContent>
          <w:r w:rsidR="002C7580" w:rsidRPr="00292F7E">
            <w:rPr>
              <w:rFonts w:ascii="Arial" w:hAnsi="Arial" w:cs="Arial"/>
              <w:color w:val="212121"/>
              <w:vertAlign w:val="superscript"/>
              <w:lang w:val="es-ES"/>
            </w:rPr>
            <w:fldChar w:fldCharType="begin"/>
          </w:r>
          <w:r w:rsidR="00745561" w:rsidRPr="00292F7E">
            <w:rPr>
              <w:rFonts w:ascii="Arial" w:hAnsi="Arial" w:cs="Arial"/>
              <w:color w:val="212121"/>
              <w:vertAlign w:val="superscript"/>
            </w:rPr>
            <w:instrText xml:space="preserve"> CITATION Nam18 \l 2058 </w:instrText>
          </w:r>
          <w:r w:rsidR="002C7580" w:rsidRPr="00292F7E">
            <w:rPr>
              <w:rFonts w:ascii="Arial" w:hAnsi="Arial" w:cs="Arial"/>
              <w:color w:val="212121"/>
              <w:vertAlign w:val="superscript"/>
              <w:lang w:val="es-ES"/>
            </w:rPr>
            <w:fldChar w:fldCharType="separate"/>
          </w:r>
          <w:r w:rsidR="006C4907" w:rsidRPr="00292F7E">
            <w:rPr>
              <w:rFonts w:ascii="Arial" w:hAnsi="Arial" w:cs="Arial"/>
              <w:noProof/>
              <w:color w:val="212121"/>
              <w:vertAlign w:val="superscript"/>
            </w:rPr>
            <w:t>(16)</w:t>
          </w:r>
          <w:r w:rsidR="002C7580" w:rsidRPr="00292F7E">
            <w:rPr>
              <w:rFonts w:ascii="Arial" w:hAnsi="Arial" w:cs="Arial"/>
              <w:color w:val="212121"/>
              <w:vertAlign w:val="superscript"/>
              <w:lang w:val="es-ES"/>
            </w:rPr>
            <w:fldChar w:fldCharType="end"/>
          </w:r>
        </w:sdtContent>
      </w:sdt>
    </w:p>
    <w:p w:rsidR="001850BB" w:rsidRPr="00CE5C76" w:rsidRDefault="001850BB" w:rsidP="00CE5C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12121"/>
          <w:lang w:val="es-ES" w:eastAsia="es-MX"/>
        </w:rPr>
      </w:pPr>
    </w:p>
    <w:p w:rsidR="007B5E01" w:rsidRPr="009F65D8" w:rsidRDefault="007B5E01" w:rsidP="007B5E01">
      <w:pPr>
        <w:pStyle w:val="Sinespaciado"/>
        <w:rPr>
          <w:rFonts w:ascii="Arial" w:hAnsi="Arial" w:cs="Arial"/>
        </w:rPr>
      </w:pPr>
    </w:p>
    <w:p w:rsidR="007B06A5" w:rsidRDefault="00E821BD" w:rsidP="00E66D68">
      <w:pPr>
        <w:jc w:val="center"/>
        <w:outlineLvl w:val="0"/>
        <w:rPr>
          <w:rFonts w:ascii="Arial" w:hAnsi="Arial" w:cs="Arial"/>
        </w:rPr>
      </w:pPr>
      <w:r>
        <w:rPr>
          <w:rFonts w:ascii="Arial" w:hAnsi="Arial" w:cs="Arial"/>
        </w:rPr>
        <w:t>HYBRID CAPTURE</w:t>
      </w:r>
      <w:r w:rsidR="007B06A5" w:rsidRPr="009F65D8">
        <w:rPr>
          <w:rFonts w:ascii="Arial" w:hAnsi="Arial" w:cs="Arial"/>
        </w:rPr>
        <w:t xml:space="preserve"> II AND III</w:t>
      </w:r>
    </w:p>
    <w:p w:rsidR="00DF3290" w:rsidRDefault="004A57AD" w:rsidP="004A57AD">
      <w:pPr>
        <w:jc w:val="both"/>
        <w:rPr>
          <w:rFonts w:ascii="Arial" w:hAnsi="Arial" w:cs="Arial"/>
          <w:lang w:val="es-ES"/>
        </w:rPr>
      </w:pPr>
      <w:r w:rsidRPr="004A57AD">
        <w:rPr>
          <w:rFonts w:ascii="Arial" w:hAnsi="Arial" w:cs="Arial"/>
          <w:lang w:val="es-ES"/>
        </w:rPr>
        <w:t>The monocatenario nucleic acid molecules that are complementary to form hybrids in appropriate conditions. The evidence of hybridization are based on this phenomenon and used marked probe molecules to detect specific complementary target molecules.</w:t>
      </w:r>
    </w:p>
    <w:p w:rsidR="00745561" w:rsidRDefault="004A57AD" w:rsidP="004A57AD">
      <w:pPr>
        <w:jc w:val="both"/>
        <w:rPr>
          <w:rFonts w:ascii="Arial" w:hAnsi="Arial" w:cs="Arial"/>
          <w:vertAlign w:val="superscript"/>
          <w:lang w:val="es-ES"/>
        </w:rPr>
      </w:pPr>
      <w:r w:rsidRPr="004A57AD">
        <w:rPr>
          <w:rFonts w:ascii="Arial" w:hAnsi="Arial" w:cs="Arial"/>
          <w:lang w:val="es-ES"/>
        </w:rPr>
        <w:t>The nucleic acid hybridization III is the most sensitive method to detect HPV in clinical samples, and the only one able to identify specific types of HPV, detects the DNA</w:t>
      </w:r>
      <w:r w:rsidR="002148CF">
        <w:rPr>
          <w:rStyle w:val="Refdenotaalpie"/>
          <w:rFonts w:ascii="Arial" w:hAnsi="Arial" w:cs="Arial"/>
          <w:lang w:val="es-ES"/>
        </w:rPr>
        <w:footnoteReference w:id="14"/>
      </w:r>
      <w:r w:rsidR="00DF3290" w:rsidRPr="00DF3290">
        <w:rPr>
          <w:rFonts w:ascii="Arial" w:hAnsi="Arial" w:cs="Arial"/>
          <w:lang w:val="es-ES"/>
        </w:rPr>
        <w:t xml:space="preserve"> of 14 high-risk types of HPV </w:t>
      </w:r>
      <w:r w:rsidR="00DF3290" w:rsidRPr="00DF3290">
        <w:rPr>
          <w:rFonts w:ascii="Arial" w:hAnsi="Arial" w:cs="Arial"/>
          <w:lang w:val="es-ES"/>
        </w:rPr>
        <w:lastRenderedPageBreak/>
        <w:t>genotype HPV16 / 18 </w:t>
      </w:r>
      <w:r w:rsidR="002148CF">
        <w:rPr>
          <w:rStyle w:val="Refdenotaalpie"/>
          <w:rFonts w:ascii="Arial" w:hAnsi="Arial" w:cs="Arial"/>
          <w:lang w:val="es-ES"/>
        </w:rPr>
        <w:footnoteReference w:id="15"/>
      </w:r>
      <w:sdt>
        <w:sdtPr>
          <w:rPr>
            <w:rFonts w:ascii="Arial" w:hAnsi="Arial" w:cs="Arial"/>
            <w:vertAlign w:val="superscript"/>
            <w:lang w:val="es-ES"/>
          </w:rPr>
          <w:id w:val="5482996"/>
          <w:citation/>
        </w:sdtPr>
        <w:sdtEndPr/>
        <w:sdtContent>
          <w:r w:rsidR="002C7580" w:rsidRPr="00292F7E">
            <w:rPr>
              <w:rFonts w:ascii="Arial" w:hAnsi="Arial" w:cs="Arial"/>
              <w:vertAlign w:val="superscript"/>
              <w:lang w:val="es-ES"/>
            </w:rPr>
            <w:fldChar w:fldCharType="begin"/>
          </w:r>
          <w:r w:rsidR="00745561" w:rsidRPr="00292F7E">
            <w:rPr>
              <w:rFonts w:ascii="Arial" w:hAnsi="Arial" w:cs="Arial"/>
              <w:vertAlign w:val="superscript"/>
            </w:rPr>
            <w:instrText xml:space="preserve"> CITATION Zha18 \l 2058 </w:instrText>
          </w:r>
          <w:r w:rsidR="002C7580" w:rsidRPr="00292F7E">
            <w:rPr>
              <w:rFonts w:ascii="Arial" w:hAnsi="Arial" w:cs="Arial"/>
              <w:vertAlign w:val="superscript"/>
              <w:lang w:val="es-ES"/>
            </w:rPr>
            <w:fldChar w:fldCharType="separate"/>
          </w:r>
          <w:r w:rsidR="006C4907" w:rsidRPr="00292F7E">
            <w:rPr>
              <w:rFonts w:ascii="Arial" w:hAnsi="Arial" w:cs="Arial"/>
              <w:noProof/>
              <w:vertAlign w:val="superscript"/>
            </w:rPr>
            <w:t>(17)</w:t>
          </w:r>
          <w:r w:rsidR="002C7580" w:rsidRPr="00292F7E">
            <w:rPr>
              <w:rFonts w:ascii="Arial" w:hAnsi="Arial" w:cs="Arial"/>
              <w:vertAlign w:val="superscript"/>
              <w:lang w:val="es-ES"/>
            </w:rPr>
            <w:fldChar w:fldCharType="end"/>
          </w:r>
        </w:sdtContent>
      </w:sdt>
      <w:r w:rsidR="00A90ED7">
        <w:rPr>
          <w:rFonts w:ascii="Arial" w:hAnsi="Arial" w:cs="Arial"/>
          <w:lang w:val="es-ES"/>
        </w:rPr>
        <w:t>; While hybridization II </w:t>
      </w:r>
      <w:r w:rsidR="00A90ED7" w:rsidRPr="00A90ED7">
        <w:rPr>
          <w:rFonts w:ascii="Arial" w:hAnsi="Arial" w:cs="Arial"/>
          <w:lang w:val="es-ES"/>
        </w:rPr>
        <w:t>HC2 allows the</w:t>
      </w:r>
      <w:r w:rsidR="00A90ED7">
        <w:rPr>
          <w:rFonts w:ascii="Arial" w:hAnsi="Arial" w:cs="Arial"/>
          <w:lang w:val="es-ES"/>
        </w:rPr>
        <w:t> detection of 13 </w:t>
      </w:r>
      <w:r w:rsidR="00A90ED7" w:rsidRPr="00A90ED7">
        <w:rPr>
          <w:rFonts w:ascii="Arial" w:hAnsi="Arial" w:cs="Arial"/>
          <w:lang w:val="es-ES"/>
        </w:rPr>
        <w:t>HPV genotypes (HPV 16, 18, 31, 33, 35, 39, 45, 51, 52, 56, 58, 59 and 68) by hybridization with probes of RNA</w:t>
      </w:r>
      <w:r w:rsidR="002148CF">
        <w:rPr>
          <w:rStyle w:val="Refdenotaalpie"/>
          <w:rFonts w:ascii="Arial" w:hAnsi="Arial" w:cs="Arial"/>
          <w:lang w:val="es-ES"/>
        </w:rPr>
        <w:footnoteReference w:id="16"/>
      </w:r>
      <w:r w:rsidR="00A90ED7" w:rsidRPr="00A90ED7">
        <w:rPr>
          <w:rFonts w:ascii="Arial" w:hAnsi="Arial" w:cs="Arial"/>
          <w:lang w:val="es-ES"/>
        </w:rPr>
        <w:t> and amplification of the signal. </w:t>
      </w:r>
      <w:sdt>
        <w:sdtPr>
          <w:rPr>
            <w:rFonts w:ascii="Arial" w:hAnsi="Arial" w:cs="Arial"/>
            <w:vertAlign w:val="superscript"/>
            <w:lang w:val="es-ES"/>
          </w:rPr>
          <w:id w:val="5482997"/>
          <w:citation/>
        </w:sdtPr>
        <w:sdtEndPr/>
        <w:sdtContent>
          <w:r w:rsidR="002C7580" w:rsidRPr="00292F7E">
            <w:rPr>
              <w:rFonts w:ascii="Arial" w:hAnsi="Arial" w:cs="Arial"/>
              <w:vertAlign w:val="superscript"/>
              <w:lang w:val="es-ES"/>
            </w:rPr>
            <w:fldChar w:fldCharType="begin"/>
          </w:r>
          <w:r w:rsidR="00745561" w:rsidRPr="00292F7E">
            <w:rPr>
              <w:rFonts w:ascii="Arial" w:hAnsi="Arial" w:cs="Arial"/>
              <w:vertAlign w:val="superscript"/>
            </w:rPr>
            <w:instrText xml:space="preserve"> CITATION Lac18 \l 2058 </w:instrText>
          </w:r>
          <w:r w:rsidR="002C7580" w:rsidRPr="00292F7E">
            <w:rPr>
              <w:rFonts w:ascii="Arial" w:hAnsi="Arial" w:cs="Arial"/>
              <w:vertAlign w:val="superscript"/>
              <w:lang w:val="es-ES"/>
            </w:rPr>
            <w:fldChar w:fldCharType="separate"/>
          </w:r>
          <w:r w:rsidR="006C4907" w:rsidRPr="00292F7E">
            <w:rPr>
              <w:rFonts w:ascii="Arial" w:hAnsi="Arial" w:cs="Arial"/>
              <w:noProof/>
              <w:vertAlign w:val="superscript"/>
            </w:rPr>
            <w:t>(18)</w:t>
          </w:r>
          <w:r w:rsidR="002C7580" w:rsidRPr="00292F7E">
            <w:rPr>
              <w:rFonts w:ascii="Arial" w:hAnsi="Arial" w:cs="Arial"/>
              <w:vertAlign w:val="superscript"/>
              <w:lang w:val="es-ES"/>
            </w:rPr>
            <w:fldChar w:fldCharType="end"/>
          </w:r>
        </w:sdtContent>
      </w:sdt>
      <w:r w:rsidR="00DF3290">
        <w:rPr>
          <w:rFonts w:ascii="Arial" w:hAnsi="Arial" w:cs="Arial"/>
          <w:lang w:val="es-ES"/>
        </w:rPr>
        <w:t> </w:t>
      </w:r>
      <w:r w:rsidR="00276410">
        <w:rPr>
          <w:rFonts w:ascii="Arial" w:hAnsi="Arial" w:cs="Arial"/>
          <w:lang w:val="es-ES"/>
        </w:rPr>
        <w:t>The hybridization III has a sensitivity of 87.7% to 96.9% and specificity of 90.6% to 91.7% (18); while the hybridization II has a sensitivity of 96% and specificity of 66.7%.</w:t>
      </w:r>
      <w:sdt>
        <w:sdtPr>
          <w:rPr>
            <w:rFonts w:ascii="Arial" w:hAnsi="Arial" w:cs="Arial"/>
            <w:vertAlign w:val="superscript"/>
            <w:lang w:val="es-ES"/>
          </w:rPr>
          <w:id w:val="5482998"/>
          <w:citation/>
        </w:sdtPr>
        <w:sdtEndPr/>
        <w:sdtContent>
          <w:r w:rsidR="002C7580" w:rsidRPr="00292F7E">
            <w:rPr>
              <w:rFonts w:ascii="Arial" w:hAnsi="Arial" w:cs="Arial"/>
              <w:vertAlign w:val="superscript"/>
              <w:lang w:val="es-ES"/>
            </w:rPr>
            <w:fldChar w:fldCharType="begin"/>
          </w:r>
          <w:r w:rsidR="000C2CD4" w:rsidRPr="00292F7E">
            <w:rPr>
              <w:rFonts w:ascii="Arial" w:hAnsi="Arial" w:cs="Arial"/>
              <w:vertAlign w:val="superscript"/>
            </w:rPr>
            <w:instrText xml:space="preserve"> CITATION Gut09 \l 2058 </w:instrText>
          </w:r>
          <w:r w:rsidR="002C7580" w:rsidRPr="00292F7E">
            <w:rPr>
              <w:rFonts w:ascii="Arial" w:hAnsi="Arial" w:cs="Arial"/>
              <w:vertAlign w:val="superscript"/>
              <w:lang w:val="es-ES"/>
            </w:rPr>
            <w:fldChar w:fldCharType="separate"/>
          </w:r>
          <w:r w:rsidR="006C4907" w:rsidRPr="00292F7E">
            <w:rPr>
              <w:rFonts w:ascii="Arial" w:hAnsi="Arial" w:cs="Arial"/>
              <w:noProof/>
              <w:vertAlign w:val="superscript"/>
            </w:rPr>
            <w:t> (19)</w:t>
          </w:r>
          <w:r w:rsidR="002C7580" w:rsidRPr="00292F7E">
            <w:rPr>
              <w:rFonts w:ascii="Arial" w:hAnsi="Arial" w:cs="Arial"/>
              <w:vertAlign w:val="superscript"/>
              <w:lang w:val="es-ES"/>
            </w:rPr>
            <w:fldChar w:fldCharType="end"/>
          </w:r>
        </w:sdtContent>
      </w:sdt>
    </w:p>
    <w:p w:rsidR="00D66958" w:rsidRDefault="008D369F" w:rsidP="004A57AD">
      <w:pPr>
        <w:jc w:val="both"/>
        <w:rPr>
          <w:rFonts w:ascii="Arial" w:hAnsi="Arial" w:cs="Arial"/>
          <w:color w:val="000000" w:themeColor="text1"/>
          <w:lang w:val="es-ES"/>
        </w:rPr>
      </w:pPr>
      <w:r w:rsidRPr="008D369F">
        <w:rPr>
          <w:rFonts w:ascii="Arial" w:hAnsi="Arial" w:cs="Arial"/>
          <w:color w:val="000000" w:themeColor="text1"/>
          <w:lang w:val="es-ES"/>
        </w:rPr>
        <w:t>The procedure involves taking a sample with cervical brush which is placed in the road; the samples were denatured manually before the analysis of hybridization II in the rapid capture automated or manually. Hybridized with viral particles and the detection and reading; as can be seen in the image 5.</w:t>
      </w:r>
    </w:p>
    <w:p w:rsidR="00D66958" w:rsidRDefault="00D66958" w:rsidP="004A57AD">
      <w:pPr>
        <w:jc w:val="both"/>
        <w:rPr>
          <w:rFonts w:ascii="Arial" w:hAnsi="Arial" w:cs="Arial"/>
          <w:color w:val="000000" w:themeColor="text1"/>
          <w:lang w:val="es-ES"/>
        </w:rPr>
      </w:pPr>
    </w:p>
    <w:p w:rsidR="00E66D68" w:rsidRPr="00E66D68" w:rsidRDefault="00E66D68" w:rsidP="00E66D68">
      <w:pPr>
        <w:jc w:val="center"/>
        <w:rPr>
          <w:rFonts w:ascii="Arial" w:hAnsi="Arial" w:cs="Arial"/>
          <w:color w:val="000000" w:themeColor="text1"/>
          <w:sz w:val="16"/>
          <w:szCs w:val="16"/>
        </w:rPr>
      </w:pPr>
      <w:r w:rsidRPr="00E66D68">
        <w:rPr>
          <w:rFonts w:ascii="Arial" w:hAnsi="Arial" w:cs="Arial"/>
          <w:bCs/>
          <w:sz w:val="16"/>
          <w:szCs w:val="16"/>
        </w:rPr>
        <w:t>Royalty 5. </w:t>
      </w:r>
      <w:r w:rsidRPr="00E66D68">
        <w:rPr>
          <w:rFonts w:ascii="Arial" w:hAnsi="Arial" w:cs="Arial"/>
          <w:sz w:val="16"/>
          <w:szCs w:val="16"/>
        </w:rPr>
        <w:t>Process of hybridization.</w:t>
      </w:r>
    </w:p>
    <w:p w:rsidR="00F27F50" w:rsidRDefault="008D369F" w:rsidP="00E66D68">
      <w:pPr>
        <w:jc w:val="center"/>
        <w:rPr>
          <w:rFonts w:ascii="Arial" w:hAnsi="Arial" w:cs="Arial"/>
          <w:vertAlign w:val="superscript"/>
          <w:lang w:val="es-ES"/>
        </w:rPr>
      </w:pPr>
      <w:r>
        <w:rPr>
          <w:noProof/>
          <w:lang w:val="es-ES" w:eastAsia="es-ES"/>
        </w:rPr>
        <w:drawing>
          <wp:inline distT="0" distB="0" distL="0" distR="0">
            <wp:extent cx="2819040" cy="1492370"/>
            <wp:effectExtent l="19050" t="0" r="360" b="0"/>
            <wp:docPr id="2" name="Imagen 1" descr="http://www.bimodi.com/blog/wp-content/uploads/capturadhibri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modi.com/blog/wp-content/uploads/capturadhibridos.jpg"/>
                    <pic:cNvPicPr>
                      <a:picLocks noChangeAspect="1" noChangeArrowheads="1"/>
                    </pic:cNvPicPr>
                  </pic:nvPicPr>
                  <pic:blipFill>
                    <a:blip r:embed="rId23" cstate="print"/>
                    <a:srcRect/>
                    <a:stretch>
                      <a:fillRect/>
                    </a:stretch>
                  </pic:blipFill>
                  <pic:spPr bwMode="auto">
                    <a:xfrm>
                      <a:off x="0" y="0"/>
                      <a:ext cx="2830215" cy="1498286"/>
                    </a:xfrm>
                    <a:prstGeom prst="rect">
                      <a:avLst/>
                    </a:prstGeom>
                    <a:noFill/>
                    <a:ln w="9525">
                      <a:noFill/>
                      <a:miter lim="800000"/>
                      <a:headEnd/>
                      <a:tailEnd/>
                    </a:ln>
                  </pic:spPr>
                </pic:pic>
              </a:graphicData>
            </a:graphic>
          </wp:inline>
        </w:drawing>
      </w:r>
    </w:p>
    <w:p w:rsidR="008D369F" w:rsidRPr="00E66D68" w:rsidRDefault="00E66D68" w:rsidP="00E2747F">
      <w:pPr>
        <w:pStyle w:val="Sinespaciado"/>
        <w:jc w:val="center"/>
        <w:rPr>
          <w:rFonts w:ascii="Arial" w:hAnsi="Arial" w:cs="Arial"/>
          <w:sz w:val="16"/>
          <w:szCs w:val="16"/>
          <w:lang w:val="es-ES"/>
        </w:rPr>
      </w:pPr>
      <w:r w:rsidRPr="00E66D68">
        <w:rPr>
          <w:rFonts w:ascii="Arial" w:hAnsi="Arial" w:cs="Arial"/>
          <w:sz w:val="16"/>
          <w:szCs w:val="16"/>
        </w:rPr>
        <w:t>Source: </w:t>
      </w:r>
      <w:r w:rsidR="00E2747F" w:rsidRPr="00E66D68">
        <w:rPr>
          <w:rFonts w:ascii="Arial" w:hAnsi="Arial" w:cs="Arial"/>
          <w:sz w:val="16"/>
          <w:szCs w:val="16"/>
        </w:rPr>
        <w:t>Obtained </w:t>
      </w:r>
      <w:r w:rsidR="008D369F" w:rsidRPr="00E66D68">
        <w:rPr>
          <w:rFonts w:ascii="Arial" w:hAnsi="Arial" w:cs="Arial"/>
          <w:sz w:val="16"/>
          <w:szCs w:val="16"/>
        </w:rPr>
        <w:t>from </w:t>
      </w:r>
      <w:hyperlink r:id="rId24" w:history="1">
        <w:r w:rsidR="008D369F" w:rsidRPr="00E66D68">
          <w:rPr>
            <w:rStyle w:val="Hipervnculo"/>
            <w:rFonts w:ascii="Arial" w:hAnsi="Arial" w:cs="Arial"/>
            <w:color w:val="000000" w:themeColor="text1"/>
            <w:sz w:val="16"/>
            <w:szCs w:val="16"/>
            <w:u w:val="none"/>
          </w:rPr>
          <w:t>http://www.inmunolab.com/attachments/38/LBcaptura_hibrida___qiagen.pdf</w:t>
        </w:r>
      </w:hyperlink>
    </w:p>
    <w:p w:rsidR="007B5E01" w:rsidRDefault="007B5E01" w:rsidP="007B5E01">
      <w:pPr>
        <w:pStyle w:val="Sinespaciado"/>
        <w:rPr>
          <w:rFonts w:ascii="Arial" w:hAnsi="Arial" w:cs="Arial"/>
        </w:rPr>
      </w:pPr>
    </w:p>
    <w:p w:rsidR="00D66958" w:rsidRPr="009F65D8" w:rsidRDefault="00D66958" w:rsidP="007B5E01">
      <w:pPr>
        <w:pStyle w:val="Sinespaciado"/>
        <w:rPr>
          <w:rFonts w:ascii="Arial" w:hAnsi="Arial" w:cs="Arial"/>
        </w:rPr>
      </w:pPr>
    </w:p>
    <w:p w:rsidR="00A46A49" w:rsidRDefault="00E821BD" w:rsidP="00E66D68">
      <w:pPr>
        <w:jc w:val="center"/>
        <w:outlineLvl w:val="0"/>
        <w:rPr>
          <w:rFonts w:ascii="Arial" w:hAnsi="Arial" w:cs="Arial"/>
        </w:rPr>
      </w:pPr>
      <w:r>
        <w:rPr>
          <w:rFonts w:ascii="Arial" w:hAnsi="Arial" w:cs="Arial"/>
        </w:rPr>
        <w:t>POLYMERASE CHAIN REACTION</w:t>
      </w:r>
    </w:p>
    <w:p w:rsidR="00A46A49" w:rsidRPr="00A46A49" w:rsidRDefault="00A46A49" w:rsidP="00A46A49">
      <w:pPr>
        <w:jc w:val="both"/>
        <w:outlineLvl w:val="0"/>
        <w:rPr>
          <w:rFonts w:ascii="Arial" w:hAnsi="Arial" w:cs="Arial"/>
          <w:vertAlign w:val="superscript"/>
        </w:rPr>
      </w:pPr>
      <w:r>
        <w:rPr>
          <w:rFonts w:ascii="Arial" w:hAnsi="Arial" w:cs="Arial"/>
        </w:rPr>
        <w:t>Amplification of the viral genome by PCR method</w:t>
      </w:r>
      <w:r w:rsidR="003938AB">
        <w:rPr>
          <w:rStyle w:val="Refdenotaalpie"/>
          <w:rFonts w:ascii="Arial" w:hAnsi="Arial" w:cs="Arial"/>
        </w:rPr>
        <w:footnoteReference w:id="17"/>
      </w:r>
      <w:r>
        <w:rPr>
          <w:rFonts w:ascii="Arial" w:hAnsi="Arial" w:cs="Arial"/>
        </w:rPr>
        <w:t xml:space="preserve"> to discriminate the type of HPV, able to detect between 10 and 200 copies of the viral genome per sample. </w:t>
      </w:r>
      <w:r>
        <w:rPr>
          <w:rFonts w:ascii="Arial" w:hAnsi="Arial" w:cs="Arial"/>
        </w:rPr>
        <w:lastRenderedPageBreak/>
        <w:t>Detect the</w:t>
      </w:r>
      <w:r w:rsidR="003938AB">
        <w:rPr>
          <w:rStyle w:val="Refdenotaalpie"/>
          <w:rFonts w:ascii="Arial" w:hAnsi="Arial" w:cs="Arial"/>
        </w:rPr>
        <w:footnoteReference w:id="18"/>
      </w:r>
      <w:r w:rsidRPr="00A46A49">
        <w:rPr>
          <w:rFonts w:ascii="Arial" w:hAnsi="Arial" w:cs="Arial"/>
        </w:rPr>
        <w:t> target DNA by using oligonucleotide primers that complement in a specific way with the flanking regions</w:t>
      </w:r>
      <w:r>
        <w:rPr>
          <w:rFonts w:ascii="Arial" w:hAnsi="Arial" w:cs="Arial"/>
        </w:rPr>
        <w:t> of DNA to amplify gene L1. The state of latency affects the sensitivity of the PCR, especially if the sample was taken from an area where the carriers are scarce or absent. </w:t>
      </w:r>
      <w:sdt>
        <w:sdtPr>
          <w:rPr>
            <w:rFonts w:ascii="Arial" w:hAnsi="Arial" w:cs="Arial"/>
            <w:vertAlign w:val="superscript"/>
          </w:rPr>
          <w:id w:val="5482999"/>
          <w:citation/>
        </w:sdtPr>
        <w:sdtEndPr/>
        <w:sdtContent>
          <w:r w:rsidR="002C7580" w:rsidRPr="00292F7E">
            <w:rPr>
              <w:rFonts w:ascii="Arial" w:hAnsi="Arial" w:cs="Arial"/>
              <w:vertAlign w:val="superscript"/>
            </w:rPr>
            <w:fldChar w:fldCharType="begin"/>
          </w:r>
          <w:r w:rsidR="000C2CD4" w:rsidRPr="00292F7E">
            <w:rPr>
              <w:rFonts w:ascii="Arial" w:hAnsi="Arial" w:cs="Arial"/>
              <w:vertAlign w:val="superscript"/>
            </w:rPr>
            <w:instrText xml:space="preserve"> CITATION Mol \l 2058 </w:instrText>
          </w:r>
          <w:r w:rsidR="002C7580" w:rsidRPr="00292F7E">
            <w:rPr>
              <w:rFonts w:ascii="Arial" w:hAnsi="Arial" w:cs="Arial"/>
              <w:vertAlign w:val="superscript"/>
            </w:rPr>
            <w:fldChar w:fldCharType="separate"/>
          </w:r>
          <w:r w:rsidR="006C4907" w:rsidRPr="00292F7E">
            <w:rPr>
              <w:rFonts w:ascii="Arial" w:hAnsi="Arial" w:cs="Arial"/>
              <w:noProof/>
              <w:vertAlign w:val="superscript"/>
            </w:rPr>
            <w:t>(20)</w:t>
          </w:r>
          <w:r w:rsidR="002C7580" w:rsidRPr="00292F7E">
            <w:rPr>
              <w:rFonts w:ascii="Arial" w:hAnsi="Arial" w:cs="Arial"/>
              <w:vertAlign w:val="superscript"/>
            </w:rPr>
            <w:fldChar w:fldCharType="end"/>
          </w:r>
        </w:sdtContent>
      </w:sdt>
      <w:r w:rsidRPr="00A46A49">
        <w:rPr>
          <w:rFonts w:ascii="Arial" w:hAnsi="Arial" w:cs="Arial"/>
        </w:rPr>
        <w:t> This may explain why samples negative by PCR. </w:t>
      </w:r>
      <w:sdt>
        <w:sdtPr>
          <w:rPr>
            <w:rFonts w:ascii="Arial" w:hAnsi="Arial" w:cs="Arial"/>
            <w:vertAlign w:val="superscript"/>
          </w:rPr>
          <w:id w:val="5483000"/>
          <w:citation/>
        </w:sdtPr>
        <w:sdtEndPr/>
        <w:sdtContent>
          <w:r w:rsidR="002C7580" w:rsidRPr="00292F7E">
            <w:rPr>
              <w:rFonts w:ascii="Arial" w:hAnsi="Arial" w:cs="Arial"/>
              <w:vertAlign w:val="superscript"/>
            </w:rPr>
            <w:fldChar w:fldCharType="begin"/>
          </w:r>
          <w:r w:rsidR="000C2CD4" w:rsidRPr="00292F7E">
            <w:rPr>
              <w:rFonts w:ascii="Arial" w:hAnsi="Arial" w:cs="Arial"/>
              <w:vertAlign w:val="superscript"/>
            </w:rPr>
            <w:instrText xml:space="preserve"> CITATION Ast14 \l 2058 </w:instrText>
          </w:r>
          <w:r w:rsidR="002C7580" w:rsidRPr="00292F7E">
            <w:rPr>
              <w:rFonts w:ascii="Arial" w:hAnsi="Arial" w:cs="Arial"/>
              <w:vertAlign w:val="superscript"/>
            </w:rPr>
            <w:fldChar w:fldCharType="separate"/>
          </w:r>
          <w:r w:rsidR="006C4907" w:rsidRPr="00292F7E">
            <w:rPr>
              <w:rFonts w:ascii="Arial" w:hAnsi="Arial" w:cs="Arial"/>
              <w:noProof/>
              <w:vertAlign w:val="superscript"/>
            </w:rPr>
            <w:t>(21)</w:t>
          </w:r>
          <w:r w:rsidR="002C7580" w:rsidRPr="00292F7E">
            <w:rPr>
              <w:rFonts w:ascii="Arial" w:hAnsi="Arial" w:cs="Arial"/>
              <w:vertAlign w:val="superscript"/>
            </w:rPr>
            <w:fldChar w:fldCharType="end"/>
          </w:r>
        </w:sdtContent>
      </w:sdt>
      <w:r w:rsidR="00772261">
        <w:rPr>
          <w:rFonts w:ascii="Arial" w:hAnsi="Arial" w:cs="Arial"/>
          <w:vertAlign w:val="superscript"/>
        </w:rPr>
        <w:t> </w:t>
      </w:r>
      <w:r w:rsidR="00772261">
        <w:rPr>
          <w:rFonts w:ascii="Arial" w:hAnsi="Arial" w:cs="Arial"/>
        </w:rPr>
        <w:t>Has demonstrated better sensitivity (between 83.9% and 100%) that the cytology for the detection of HPV, but with a lower specificity (64.1% to 95.1%). </w:t>
      </w:r>
      <w:sdt>
        <w:sdtPr>
          <w:rPr>
            <w:rFonts w:ascii="Arial" w:hAnsi="Arial" w:cs="Arial"/>
            <w:vertAlign w:val="superscript"/>
          </w:rPr>
          <w:id w:val="5483002"/>
          <w:citation/>
        </w:sdtPr>
        <w:sdtEndPr/>
        <w:sdtContent>
          <w:r w:rsidR="002C7580" w:rsidRPr="00292F7E">
            <w:rPr>
              <w:rFonts w:ascii="Arial" w:hAnsi="Arial" w:cs="Arial"/>
              <w:vertAlign w:val="superscript"/>
            </w:rPr>
            <w:fldChar w:fldCharType="begin"/>
          </w:r>
          <w:r w:rsidR="000C2CD4" w:rsidRPr="00292F7E">
            <w:rPr>
              <w:rFonts w:ascii="Arial" w:hAnsi="Arial" w:cs="Arial"/>
              <w:vertAlign w:val="superscript"/>
            </w:rPr>
            <w:instrText xml:space="preserve"> CITATION San131 \l 2058 </w:instrText>
          </w:r>
          <w:r w:rsidR="002C7580" w:rsidRPr="00292F7E">
            <w:rPr>
              <w:rFonts w:ascii="Arial" w:hAnsi="Arial" w:cs="Arial"/>
              <w:vertAlign w:val="superscript"/>
            </w:rPr>
            <w:fldChar w:fldCharType="separate"/>
          </w:r>
          <w:r w:rsidR="006C4907" w:rsidRPr="00292F7E">
            <w:rPr>
              <w:rFonts w:ascii="Arial" w:hAnsi="Arial" w:cs="Arial"/>
              <w:noProof/>
              <w:vertAlign w:val="superscript"/>
            </w:rPr>
            <w:t>(22)</w:t>
          </w:r>
          <w:r w:rsidR="002C7580" w:rsidRPr="00292F7E">
            <w:rPr>
              <w:rFonts w:ascii="Arial" w:hAnsi="Arial" w:cs="Arial"/>
              <w:vertAlign w:val="superscript"/>
            </w:rPr>
            <w:fldChar w:fldCharType="end"/>
          </w:r>
        </w:sdtContent>
      </w:sdt>
    </w:p>
    <w:p w:rsidR="007C4628" w:rsidRDefault="000B5EFE" w:rsidP="007C4628">
      <w:pPr>
        <w:jc w:val="both"/>
        <w:outlineLvl w:val="0"/>
        <w:rPr>
          <w:rFonts w:ascii="Arial" w:hAnsi="Arial" w:cs="Arial"/>
          <w:vertAlign w:val="superscript"/>
          <w:lang w:val="es-ES"/>
        </w:rPr>
      </w:pPr>
      <w:r>
        <w:rPr>
          <w:rFonts w:ascii="Arial" w:hAnsi="Arial" w:cs="Arial"/>
        </w:rPr>
        <w:t>The sample is taken with endocervical swab, the sample is placed in a viral way, using primers directed against the high risk human papilloma virus (16, 18 is reported and high-risk</w:t>
      </w:r>
      <w:r w:rsidR="007B7FF2">
        <w:rPr>
          <w:rFonts w:ascii="Arial" w:hAnsi="Arial" w:cs="Arial"/>
        </w:rPr>
        <w:t> (total 27); viral DNA is extracted and purified; there is a polymerase chain reaction with the DNA extracted, </w:t>
      </w:r>
      <w:sdt>
        <w:sdtPr>
          <w:rPr>
            <w:rFonts w:ascii="Arial" w:hAnsi="Arial" w:cs="Arial"/>
            <w:vertAlign w:val="superscript"/>
          </w:rPr>
          <w:id w:val="5483003"/>
          <w:citation/>
        </w:sdtPr>
        <w:sdtEndPr/>
        <w:sdtContent>
          <w:r w:rsidR="002C7580" w:rsidRPr="00292F7E">
            <w:rPr>
              <w:rFonts w:ascii="Arial" w:hAnsi="Arial" w:cs="Arial"/>
              <w:vertAlign w:val="superscript"/>
            </w:rPr>
            <w:fldChar w:fldCharType="begin"/>
          </w:r>
          <w:r w:rsidR="000C2CD4" w:rsidRPr="00292F7E">
            <w:rPr>
              <w:rFonts w:ascii="Arial" w:hAnsi="Arial" w:cs="Arial"/>
              <w:vertAlign w:val="superscript"/>
            </w:rPr>
            <w:instrText xml:space="preserve"> CITATION Sha17 \l 2058 </w:instrText>
          </w:r>
          <w:r w:rsidR="002C7580" w:rsidRPr="00292F7E">
            <w:rPr>
              <w:rFonts w:ascii="Arial" w:hAnsi="Arial" w:cs="Arial"/>
              <w:vertAlign w:val="superscript"/>
            </w:rPr>
            <w:fldChar w:fldCharType="separate"/>
          </w:r>
          <w:r w:rsidR="006C4907" w:rsidRPr="00292F7E">
            <w:rPr>
              <w:rFonts w:ascii="Arial" w:hAnsi="Arial" w:cs="Arial"/>
              <w:noProof/>
              <w:vertAlign w:val="superscript"/>
            </w:rPr>
            <w:t>(23)</w:t>
          </w:r>
          <w:r w:rsidR="002C7580" w:rsidRPr="00292F7E">
            <w:rPr>
              <w:rFonts w:ascii="Arial" w:hAnsi="Arial" w:cs="Arial"/>
              <w:vertAlign w:val="superscript"/>
            </w:rPr>
            <w:fldChar w:fldCharType="end"/>
          </w:r>
        </w:sdtContent>
      </w:sdt>
      <w:r w:rsidR="00772261" w:rsidRPr="000C2CD4">
        <w:rPr>
          <w:rFonts w:ascii="Arial" w:hAnsi="Arial" w:cs="Arial"/>
          <w:vertAlign w:val="superscript"/>
        </w:rPr>
        <w:t> </w:t>
      </w:r>
      <w:r w:rsidR="007C4628">
        <w:rPr>
          <w:rFonts w:ascii="Arial" w:hAnsi="Arial" w:cs="Arial"/>
          <w:vertAlign w:val="superscript"/>
        </w:rPr>
        <w:t> </w:t>
      </w:r>
      <w:r w:rsidR="007C4628" w:rsidRPr="007C4628">
        <w:rPr>
          <w:rFonts w:ascii="Arial" w:hAnsi="Arial" w:cs="Arial"/>
          <w:lang w:val="es-ES"/>
        </w:rPr>
        <w:t>They were separated and detected in terms of their size through the use of capillary electrophoresis. </w:t>
      </w:r>
      <w:sdt>
        <w:sdtPr>
          <w:rPr>
            <w:rFonts w:ascii="Arial" w:hAnsi="Arial" w:cs="Arial"/>
            <w:vertAlign w:val="superscript"/>
            <w:lang w:val="es-ES"/>
          </w:rPr>
          <w:id w:val="5483005"/>
          <w:citation/>
        </w:sdtPr>
        <w:sdtEndPr/>
        <w:sdtContent>
          <w:r w:rsidR="002C7580" w:rsidRPr="00292F7E">
            <w:rPr>
              <w:rFonts w:ascii="Arial" w:hAnsi="Arial" w:cs="Arial"/>
              <w:vertAlign w:val="superscript"/>
              <w:lang w:val="es-ES"/>
            </w:rPr>
            <w:fldChar w:fldCharType="begin"/>
          </w:r>
          <w:r w:rsidR="000C2CD4" w:rsidRPr="00292F7E">
            <w:rPr>
              <w:rFonts w:ascii="Arial" w:hAnsi="Arial" w:cs="Arial"/>
              <w:vertAlign w:val="superscript"/>
            </w:rPr>
            <w:instrText xml:space="preserve"> CITATION Bey18 \l 2058 </w:instrText>
          </w:r>
          <w:r w:rsidR="002C7580" w:rsidRPr="00292F7E">
            <w:rPr>
              <w:rFonts w:ascii="Arial" w:hAnsi="Arial" w:cs="Arial"/>
              <w:vertAlign w:val="superscript"/>
              <w:lang w:val="es-ES"/>
            </w:rPr>
            <w:fldChar w:fldCharType="separate"/>
          </w:r>
          <w:r w:rsidR="006C4907" w:rsidRPr="00292F7E">
            <w:rPr>
              <w:rFonts w:ascii="Arial" w:hAnsi="Arial" w:cs="Arial"/>
              <w:noProof/>
              <w:vertAlign w:val="superscript"/>
            </w:rPr>
            <w:t>(24)</w:t>
          </w:r>
          <w:r w:rsidR="002C7580" w:rsidRPr="00292F7E">
            <w:rPr>
              <w:rFonts w:ascii="Arial" w:hAnsi="Arial" w:cs="Arial"/>
              <w:vertAlign w:val="superscript"/>
              <w:lang w:val="es-ES"/>
            </w:rPr>
            <w:fldChar w:fldCharType="end"/>
          </w:r>
        </w:sdtContent>
      </w:sdt>
    </w:p>
    <w:p w:rsidR="00D1093E" w:rsidRPr="000C2CD4" w:rsidRDefault="00D1093E" w:rsidP="00D1093E">
      <w:pPr>
        <w:pStyle w:val="HTMLconformatoprevio"/>
        <w:shd w:val="clear" w:color="auto" w:fill="FFFFFF"/>
        <w:rPr>
          <w:rFonts w:ascii="Arial" w:hAnsi="Arial" w:cs="Arial"/>
          <w:color w:val="212121"/>
          <w:sz w:val="22"/>
          <w:szCs w:val="22"/>
          <w:vertAlign w:val="superscript"/>
          <w:lang w:val="es-ES"/>
        </w:rPr>
      </w:pPr>
      <w:r w:rsidRPr="00D1093E">
        <w:rPr>
          <w:rFonts w:ascii="Arial" w:hAnsi="Arial" w:cs="Arial"/>
          <w:sz w:val="22"/>
          <w:szCs w:val="22"/>
          <w:lang w:val="es-ES"/>
        </w:rPr>
        <w:t>The high-risk viruses are </w:t>
      </w:r>
      <w:r w:rsidRPr="00D1093E">
        <w:rPr>
          <w:rFonts w:ascii="Arial" w:hAnsi="Arial" w:cs="Arial"/>
          <w:color w:val="212121"/>
          <w:sz w:val="22"/>
          <w:szCs w:val="22"/>
          <w:lang w:val="es-ES"/>
        </w:rPr>
        <w:t>high risk (26, 31, 33, 35, 39, 45, 51, 52.53, 56, 58, 59, 66, 68, 73, 82). </w:t>
      </w:r>
      <w:sdt>
        <w:sdtPr>
          <w:rPr>
            <w:rFonts w:ascii="Arial" w:hAnsi="Arial" w:cs="Arial"/>
            <w:color w:val="212121"/>
            <w:sz w:val="22"/>
            <w:szCs w:val="22"/>
            <w:vertAlign w:val="superscript"/>
            <w:lang w:val="es-ES"/>
          </w:rPr>
          <w:id w:val="5483006"/>
          <w:citation/>
        </w:sdtPr>
        <w:sdtEndPr/>
        <w:sdtContent>
          <w:r w:rsidR="002C7580" w:rsidRPr="00292F7E">
            <w:rPr>
              <w:rFonts w:ascii="Arial" w:hAnsi="Arial" w:cs="Arial"/>
              <w:color w:val="212121"/>
              <w:sz w:val="22"/>
              <w:szCs w:val="22"/>
              <w:vertAlign w:val="superscript"/>
              <w:lang w:val="es-ES"/>
            </w:rPr>
            <w:fldChar w:fldCharType="begin"/>
          </w:r>
          <w:r w:rsidR="000C2CD4" w:rsidRPr="00292F7E">
            <w:rPr>
              <w:rFonts w:ascii="Arial" w:hAnsi="Arial" w:cs="Arial"/>
              <w:color w:val="212121"/>
              <w:sz w:val="22"/>
              <w:szCs w:val="22"/>
              <w:vertAlign w:val="superscript"/>
            </w:rPr>
            <w:instrText xml:space="preserve"> CITATION Ale18 \l 2058 </w:instrText>
          </w:r>
          <w:r w:rsidR="002C7580" w:rsidRPr="00292F7E">
            <w:rPr>
              <w:rFonts w:ascii="Arial" w:hAnsi="Arial" w:cs="Arial"/>
              <w:color w:val="212121"/>
              <w:sz w:val="22"/>
              <w:szCs w:val="22"/>
              <w:vertAlign w:val="superscript"/>
              <w:lang w:val="es-ES"/>
            </w:rPr>
            <w:fldChar w:fldCharType="separate"/>
          </w:r>
          <w:r w:rsidR="006C4907" w:rsidRPr="00292F7E">
            <w:rPr>
              <w:rFonts w:ascii="Arial" w:hAnsi="Arial" w:cs="Arial"/>
              <w:noProof/>
              <w:color w:val="212121"/>
              <w:sz w:val="22"/>
              <w:szCs w:val="22"/>
              <w:vertAlign w:val="superscript"/>
            </w:rPr>
            <w:t>(25)</w:t>
          </w:r>
          <w:r w:rsidR="002C7580" w:rsidRPr="00292F7E">
            <w:rPr>
              <w:rFonts w:ascii="Arial" w:hAnsi="Arial" w:cs="Arial"/>
              <w:color w:val="212121"/>
              <w:sz w:val="22"/>
              <w:szCs w:val="22"/>
              <w:vertAlign w:val="superscript"/>
              <w:lang w:val="es-ES"/>
            </w:rPr>
            <w:fldChar w:fldCharType="end"/>
          </w:r>
        </w:sdtContent>
      </w:sdt>
    </w:p>
    <w:p w:rsidR="007B5E01" w:rsidRDefault="007B5E01" w:rsidP="007B5E01">
      <w:pPr>
        <w:pStyle w:val="Sinespaciado"/>
        <w:rPr>
          <w:rFonts w:ascii="Arial" w:hAnsi="Arial" w:cs="Arial"/>
        </w:rPr>
      </w:pPr>
    </w:p>
    <w:p w:rsidR="00F27F50" w:rsidRPr="009F65D8" w:rsidRDefault="00F27F50" w:rsidP="007B5E01">
      <w:pPr>
        <w:pStyle w:val="Sinespaciado"/>
        <w:rPr>
          <w:rFonts w:ascii="Arial" w:hAnsi="Arial" w:cs="Arial"/>
        </w:rPr>
      </w:pPr>
    </w:p>
    <w:p w:rsidR="007B06A5" w:rsidRDefault="007B06A5" w:rsidP="00E66D68">
      <w:pPr>
        <w:jc w:val="center"/>
        <w:outlineLvl w:val="0"/>
        <w:rPr>
          <w:rFonts w:ascii="Arial" w:hAnsi="Arial" w:cs="Arial"/>
        </w:rPr>
      </w:pPr>
      <w:r w:rsidRPr="009F65D8">
        <w:rPr>
          <w:rFonts w:ascii="Arial" w:hAnsi="Arial" w:cs="Arial"/>
        </w:rPr>
        <w:t>C</w:t>
      </w:r>
      <w:r w:rsidR="00E821BD">
        <w:rPr>
          <w:rFonts w:ascii="Arial" w:hAnsi="Arial" w:cs="Arial"/>
        </w:rPr>
        <w:t>ONCLUSIONS</w:t>
      </w:r>
    </w:p>
    <w:p w:rsidR="000F1622" w:rsidRDefault="000F1622" w:rsidP="000F1622">
      <w:pPr>
        <w:jc w:val="both"/>
        <w:outlineLvl w:val="0"/>
        <w:rPr>
          <w:rFonts w:ascii="Arial" w:hAnsi="Arial" w:cs="Arial"/>
        </w:rPr>
      </w:pPr>
      <w:r>
        <w:rPr>
          <w:rFonts w:ascii="Arial" w:hAnsi="Arial" w:cs="Arial"/>
        </w:rPr>
        <w:t>Throughout </w:t>
      </w:r>
      <w:r w:rsidR="004E70DD">
        <w:rPr>
          <w:rFonts w:ascii="Arial" w:hAnsi="Arial" w:cs="Arial"/>
        </w:rPr>
        <w:t>the history of cervical cancer screening have been refined and created new tools for the timely detection of human papilloma virus, cervical cancer and injuries; according to this review, we can say that for the detection of HPV the best tool today is PCR due to its high sensitivity and specificity as well</w:t>
      </w:r>
      <w:r>
        <w:rPr>
          <w:rFonts w:ascii="Arial" w:hAnsi="Arial" w:cs="Arial"/>
        </w:rPr>
        <w:t xml:space="preserve"> as to allow a greater number of viruses detected, as can be seen in table number 1; with regard to the detection of cervical lesions the best tool is the liquid-based </w:t>
      </w:r>
      <w:r>
        <w:rPr>
          <w:rFonts w:ascii="Arial" w:hAnsi="Arial" w:cs="Arial"/>
        </w:rPr>
        <w:lastRenderedPageBreak/>
        <w:t>cytology because it provides a greater sensitivity</w:t>
      </w:r>
      <w:r w:rsidR="004E70DD">
        <w:rPr>
          <w:rFonts w:ascii="Arial" w:hAnsi="Arial" w:cs="Arial"/>
        </w:rPr>
        <w:t> and specificity</w:t>
      </w:r>
      <w:r>
        <w:rPr>
          <w:rFonts w:ascii="Arial" w:hAnsi="Arial" w:cs="Arial"/>
        </w:rPr>
        <w:t> compared to conventional, however</w:t>
      </w:r>
      <w:r w:rsidR="004E70DD">
        <w:rPr>
          <w:rFonts w:ascii="Arial" w:hAnsi="Arial" w:cs="Arial"/>
        </w:rPr>
        <w:t> the European Union in accordance To the revisions made </w:t>
      </w:r>
      <w:r>
        <w:rPr>
          <w:rFonts w:ascii="Arial" w:hAnsi="Arial" w:cs="Arial"/>
        </w:rPr>
        <w:t>determined that the gold standard is the colposcopy; however this presents lower sensitivity and specificity with a 83 and 84 per cent</w:t>
      </w:r>
      <w:r w:rsidR="004E70DD">
        <w:rPr>
          <w:rFonts w:ascii="Arial" w:hAnsi="Arial" w:cs="Arial"/>
        </w:rPr>
        <w:t> in comparison to the conventional or liquid cytology; with regard to the inspection with acetic acid and Lugol's iodine</w:t>
      </w:r>
      <w:r>
        <w:rPr>
          <w:rFonts w:ascii="Arial" w:hAnsi="Arial" w:cs="Arial"/>
        </w:rPr>
        <w:t> are good tools with good sensitivity and specificity but allow a late detection because the process of malignant transformation</w:t>
      </w:r>
      <w:r w:rsidR="004E70DD">
        <w:rPr>
          <w:rFonts w:ascii="Arial" w:hAnsi="Arial" w:cs="Arial"/>
        </w:rPr>
        <w:t> would be advanced to</w:t>
      </w:r>
      <w:r>
        <w:rPr>
          <w:rFonts w:ascii="Arial" w:hAnsi="Arial" w:cs="Arial"/>
        </w:rPr>
        <w:t> positive evidence. </w:t>
      </w:r>
    </w:p>
    <w:p w:rsidR="00D66958" w:rsidRDefault="000F1622" w:rsidP="00544D56">
      <w:pPr>
        <w:jc w:val="both"/>
        <w:outlineLvl w:val="0"/>
        <w:rPr>
          <w:rFonts w:ascii="Arial" w:hAnsi="Arial" w:cs="Arial"/>
        </w:rPr>
        <w:sectPr w:rsidR="00D66958" w:rsidSect="00D66958">
          <w:type w:val="continuous"/>
          <w:pgSz w:w="12240" w:h="15840"/>
          <w:pgMar w:top="1417" w:right="1701" w:bottom="1417" w:left="1701" w:header="708" w:footer="708" w:gutter="0"/>
          <w:cols w:num="2" w:space="708"/>
          <w:docGrid w:linePitch="360"/>
        </w:sectPr>
      </w:pPr>
      <w:r>
        <w:rPr>
          <w:rFonts w:ascii="Arial" w:hAnsi="Arial" w:cs="Arial"/>
        </w:rPr>
        <w:t>Each country will take the </w:t>
      </w:r>
      <w:r w:rsidR="00544D56">
        <w:rPr>
          <w:rFonts w:ascii="Arial" w:hAnsi="Arial" w:cs="Arial"/>
        </w:rPr>
        <w:t>most powerful tool</w:t>
      </w:r>
      <w:r>
        <w:rPr>
          <w:rFonts w:ascii="Arial" w:hAnsi="Arial" w:cs="Arial"/>
        </w:rPr>
        <w:t> for your own screening since not all are accessible and are dependent on the economy of the country. </w:t>
      </w:r>
    </w:p>
    <w:p w:rsidR="000F1622" w:rsidRDefault="000F1622" w:rsidP="00544D56">
      <w:pPr>
        <w:jc w:val="both"/>
        <w:outlineLvl w:val="0"/>
        <w:rPr>
          <w:rFonts w:ascii="Arial" w:hAnsi="Arial" w:cs="Arial"/>
        </w:rPr>
      </w:pPr>
    </w:p>
    <w:tbl>
      <w:tblPr>
        <w:tblStyle w:val="Sombreadoclaro-nfasis11"/>
        <w:tblW w:w="0" w:type="auto"/>
        <w:tblLook w:val="04A0" w:firstRow="1" w:lastRow="0" w:firstColumn="1" w:lastColumn="0" w:noHBand="0" w:noVBand="1"/>
      </w:tblPr>
      <w:tblGrid>
        <w:gridCol w:w="1795"/>
        <w:gridCol w:w="1795"/>
        <w:gridCol w:w="1796"/>
        <w:gridCol w:w="1796"/>
        <w:gridCol w:w="1796"/>
      </w:tblGrid>
      <w:tr w:rsidR="00183453" w:rsidTr="001B32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8" w:type="dxa"/>
            <w:gridSpan w:val="5"/>
          </w:tcPr>
          <w:p w:rsidR="00183453" w:rsidRDefault="00183453" w:rsidP="00183453">
            <w:pPr>
              <w:jc w:val="center"/>
              <w:outlineLvl w:val="0"/>
              <w:rPr>
                <w:rFonts w:ascii="Arial" w:hAnsi="Arial" w:cs="Arial"/>
              </w:rPr>
            </w:pPr>
            <w:r>
              <w:rPr>
                <w:rFonts w:ascii="Arial" w:hAnsi="Arial" w:cs="Arial"/>
              </w:rPr>
              <w:t>Table I. Summary of screening tests for cervical cancer and human papillomavirus</w:t>
            </w:r>
          </w:p>
        </w:tc>
      </w:tr>
      <w:tr w:rsidR="00183453" w:rsidTr="001B3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rsidR="00183453" w:rsidRDefault="00183453" w:rsidP="00183453">
            <w:pPr>
              <w:jc w:val="center"/>
              <w:outlineLvl w:val="0"/>
              <w:rPr>
                <w:rFonts w:ascii="Arial" w:hAnsi="Arial" w:cs="Arial"/>
              </w:rPr>
            </w:pPr>
            <w:r>
              <w:rPr>
                <w:rFonts w:ascii="Arial" w:hAnsi="Arial" w:cs="Arial"/>
              </w:rPr>
              <w:t>Test</w:t>
            </w:r>
          </w:p>
        </w:tc>
        <w:tc>
          <w:tcPr>
            <w:tcW w:w="1795" w:type="dxa"/>
          </w:tcPr>
          <w:p w:rsidR="00183453" w:rsidRDefault="00183453"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Detects</w:t>
            </w:r>
          </w:p>
        </w:tc>
        <w:tc>
          <w:tcPr>
            <w:tcW w:w="1796" w:type="dxa"/>
          </w:tcPr>
          <w:p w:rsidR="00183453" w:rsidRDefault="00183453"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Use</w:t>
            </w:r>
          </w:p>
        </w:tc>
        <w:tc>
          <w:tcPr>
            <w:tcW w:w="1796" w:type="dxa"/>
          </w:tcPr>
          <w:p w:rsidR="00183453" w:rsidRDefault="00183453"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Sensitivity</w:t>
            </w:r>
          </w:p>
        </w:tc>
        <w:tc>
          <w:tcPr>
            <w:tcW w:w="1796" w:type="dxa"/>
          </w:tcPr>
          <w:p w:rsidR="00183453" w:rsidRDefault="00183453"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Specificity</w:t>
            </w:r>
          </w:p>
        </w:tc>
      </w:tr>
      <w:tr w:rsidR="00183453" w:rsidTr="001B3278">
        <w:tc>
          <w:tcPr>
            <w:cnfStyle w:val="001000000000" w:firstRow="0" w:lastRow="0" w:firstColumn="1" w:lastColumn="0" w:oddVBand="0" w:evenVBand="0" w:oddHBand="0" w:evenHBand="0" w:firstRowFirstColumn="0" w:firstRowLastColumn="0" w:lastRowFirstColumn="0" w:lastRowLastColumn="0"/>
            <w:tcW w:w="1795" w:type="dxa"/>
          </w:tcPr>
          <w:p w:rsidR="00183453" w:rsidRDefault="00183453" w:rsidP="00183453">
            <w:pPr>
              <w:jc w:val="center"/>
              <w:outlineLvl w:val="0"/>
              <w:rPr>
                <w:rFonts w:ascii="Arial" w:hAnsi="Arial" w:cs="Arial"/>
              </w:rPr>
            </w:pPr>
            <w:r>
              <w:rPr>
                <w:rFonts w:ascii="Arial" w:hAnsi="Arial" w:cs="Arial"/>
              </w:rPr>
              <w:t>Conventional cytology / Pap</w:t>
            </w:r>
          </w:p>
        </w:tc>
        <w:tc>
          <w:tcPr>
            <w:tcW w:w="1795" w:type="dxa"/>
          </w:tcPr>
          <w:p w:rsidR="00183453" w:rsidRDefault="00183453"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Abnormal cells </w:t>
            </w:r>
          </w:p>
        </w:tc>
        <w:tc>
          <w:tcPr>
            <w:tcW w:w="1796" w:type="dxa"/>
          </w:tcPr>
          <w:p w:rsidR="00183453"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Possible cervical lesions</w:t>
            </w:r>
          </w:p>
        </w:tc>
        <w:tc>
          <w:tcPr>
            <w:tcW w:w="1796" w:type="dxa"/>
          </w:tcPr>
          <w:p w:rsidR="00183453"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sidRPr="009F65D8">
              <w:rPr>
                <w:rFonts w:ascii="Arial" w:hAnsi="Arial" w:cs="Arial"/>
              </w:rPr>
              <w:t>32.4 to 90%</w:t>
            </w:r>
          </w:p>
        </w:tc>
        <w:tc>
          <w:tcPr>
            <w:tcW w:w="1796" w:type="dxa"/>
          </w:tcPr>
          <w:p w:rsidR="00183453"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94%</w:t>
            </w:r>
          </w:p>
        </w:tc>
      </w:tr>
      <w:tr w:rsidR="00183453" w:rsidTr="001B3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rsidR="00183453" w:rsidRDefault="00183453" w:rsidP="00183453">
            <w:pPr>
              <w:jc w:val="center"/>
              <w:outlineLvl w:val="0"/>
              <w:rPr>
                <w:rFonts w:ascii="Arial" w:hAnsi="Arial" w:cs="Arial"/>
              </w:rPr>
            </w:pPr>
            <w:r>
              <w:rPr>
                <w:rFonts w:ascii="Arial" w:hAnsi="Arial" w:cs="Arial"/>
              </w:rPr>
              <w:t>Liquid-based cytology</w:t>
            </w:r>
          </w:p>
        </w:tc>
        <w:tc>
          <w:tcPr>
            <w:tcW w:w="1795" w:type="dxa"/>
          </w:tcPr>
          <w:p w:rsidR="00183453" w:rsidRDefault="00183453"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Abnormal cells</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Possible cervical lesions</w:t>
            </w:r>
          </w:p>
        </w:tc>
        <w:tc>
          <w:tcPr>
            <w:tcW w:w="1796" w:type="dxa"/>
          </w:tcPr>
          <w:p w:rsidR="00183453" w:rsidRDefault="007B7FF2" w:rsidP="007B7FF2">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79.1% to 90.4%</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r w:rsidR="00183453" w:rsidTr="001B3278">
        <w:tc>
          <w:tcPr>
            <w:cnfStyle w:val="001000000000" w:firstRow="0" w:lastRow="0" w:firstColumn="1" w:lastColumn="0" w:oddVBand="0" w:evenVBand="0" w:oddHBand="0" w:evenHBand="0" w:firstRowFirstColumn="0" w:firstRowLastColumn="0" w:lastRowFirstColumn="0" w:lastRowLastColumn="0"/>
            <w:tcW w:w="1795" w:type="dxa"/>
          </w:tcPr>
          <w:p w:rsidR="00183453" w:rsidRDefault="00183453" w:rsidP="00183453">
            <w:pPr>
              <w:jc w:val="center"/>
              <w:outlineLvl w:val="0"/>
              <w:rPr>
                <w:rFonts w:ascii="Arial" w:hAnsi="Arial" w:cs="Arial"/>
              </w:rPr>
            </w:pPr>
            <w:r>
              <w:rPr>
                <w:rFonts w:ascii="Arial" w:hAnsi="Arial" w:cs="Arial"/>
              </w:rPr>
              <w:t>Visual inspection of the acetic acid</w:t>
            </w:r>
          </w:p>
        </w:tc>
        <w:tc>
          <w:tcPr>
            <w:tcW w:w="1795" w:type="dxa"/>
          </w:tcPr>
          <w:p w:rsidR="00183453" w:rsidRDefault="00183453"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Cervical lesions </w:t>
            </w:r>
            <w:r w:rsidR="007B7FF2">
              <w:rPr>
                <w:rFonts w:ascii="Arial" w:hAnsi="Arial" w:cs="Arial"/>
              </w:rPr>
              <w:t>visible</w:t>
            </w:r>
          </w:p>
        </w:tc>
        <w:tc>
          <w:tcPr>
            <w:tcW w:w="1796" w:type="dxa"/>
          </w:tcPr>
          <w:p w:rsidR="00183453" w:rsidRDefault="007B7FF2" w:rsidP="007B7FF2">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Possible cervical lesions </w:t>
            </w:r>
          </w:p>
        </w:tc>
        <w:tc>
          <w:tcPr>
            <w:tcW w:w="1796" w:type="dxa"/>
          </w:tcPr>
          <w:p w:rsidR="00183453" w:rsidRDefault="007B7FF2" w:rsidP="007B7FF2">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sidRPr="009F65D8">
              <w:rPr>
                <w:rFonts w:ascii="Arial" w:hAnsi="Arial" w:cs="Arial"/>
                <w:lang w:val="es-ES"/>
              </w:rPr>
              <w:t>30 to 87% </w:t>
            </w:r>
          </w:p>
        </w:tc>
        <w:tc>
          <w:tcPr>
            <w:tcW w:w="1796" w:type="dxa"/>
          </w:tcPr>
          <w:p w:rsidR="00183453"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lang w:val="es-ES"/>
              </w:rPr>
              <w:t>86 to </w:t>
            </w:r>
            <w:r w:rsidRPr="009F65D8">
              <w:rPr>
                <w:rFonts w:ascii="Arial" w:hAnsi="Arial" w:cs="Arial"/>
                <w:lang w:val="es-ES"/>
              </w:rPr>
              <w:t>100%</w:t>
            </w:r>
          </w:p>
        </w:tc>
      </w:tr>
      <w:tr w:rsidR="00183453" w:rsidTr="001B3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rsidR="00183453" w:rsidRDefault="00183453" w:rsidP="00183453">
            <w:pPr>
              <w:jc w:val="center"/>
              <w:outlineLvl w:val="0"/>
              <w:rPr>
                <w:rFonts w:ascii="Arial" w:hAnsi="Arial" w:cs="Arial"/>
              </w:rPr>
            </w:pPr>
            <w:r>
              <w:rPr>
                <w:rFonts w:ascii="Arial" w:hAnsi="Arial" w:cs="Arial"/>
              </w:rPr>
              <w:t>Visual inspection Lugo</w:t>
            </w:r>
          </w:p>
        </w:tc>
        <w:tc>
          <w:tcPr>
            <w:tcW w:w="1795"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Cervical lesions visible</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Possible cervical lesions</w:t>
            </w:r>
          </w:p>
        </w:tc>
        <w:tc>
          <w:tcPr>
            <w:tcW w:w="1796" w:type="dxa"/>
          </w:tcPr>
          <w:p w:rsidR="00183453" w:rsidRDefault="007B7FF2" w:rsidP="007B7FF2">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87.2% </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84.7%.</w:t>
            </w:r>
          </w:p>
        </w:tc>
      </w:tr>
      <w:tr w:rsidR="00183453" w:rsidTr="001B3278">
        <w:tc>
          <w:tcPr>
            <w:cnfStyle w:val="001000000000" w:firstRow="0" w:lastRow="0" w:firstColumn="1" w:lastColumn="0" w:oddVBand="0" w:evenVBand="0" w:oddHBand="0" w:evenHBand="0" w:firstRowFirstColumn="0" w:firstRowLastColumn="0" w:lastRowFirstColumn="0" w:lastRowLastColumn="0"/>
            <w:tcW w:w="1795" w:type="dxa"/>
          </w:tcPr>
          <w:p w:rsidR="00183453" w:rsidRDefault="00183453" w:rsidP="00183453">
            <w:pPr>
              <w:jc w:val="center"/>
              <w:outlineLvl w:val="0"/>
              <w:rPr>
                <w:rFonts w:ascii="Arial" w:hAnsi="Arial" w:cs="Arial"/>
              </w:rPr>
            </w:pPr>
            <w:r>
              <w:rPr>
                <w:rFonts w:ascii="Arial" w:hAnsi="Arial" w:cs="Arial"/>
              </w:rPr>
              <w:t>Colposcopy</w:t>
            </w:r>
          </w:p>
        </w:tc>
        <w:tc>
          <w:tcPr>
            <w:tcW w:w="1795" w:type="dxa"/>
          </w:tcPr>
          <w:p w:rsidR="00183453" w:rsidRDefault="00183453" w:rsidP="00D14868">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Cervical Neoplasia</w:t>
            </w:r>
          </w:p>
        </w:tc>
        <w:tc>
          <w:tcPr>
            <w:tcW w:w="1796" w:type="dxa"/>
          </w:tcPr>
          <w:p w:rsidR="00183453"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Cervical lesions</w:t>
            </w:r>
          </w:p>
        </w:tc>
        <w:tc>
          <w:tcPr>
            <w:tcW w:w="1796" w:type="dxa"/>
          </w:tcPr>
          <w:p w:rsidR="00183453" w:rsidRDefault="007B7FF2" w:rsidP="007B7FF2">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sidRPr="002D12B9">
              <w:rPr>
                <w:rFonts w:ascii="Arial" w:hAnsi="Arial" w:cs="Arial"/>
              </w:rPr>
              <w:t>83% </w:t>
            </w:r>
          </w:p>
        </w:tc>
        <w:tc>
          <w:tcPr>
            <w:tcW w:w="1796" w:type="dxa"/>
          </w:tcPr>
          <w:p w:rsidR="00183453"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86%</w:t>
            </w:r>
          </w:p>
        </w:tc>
      </w:tr>
      <w:tr w:rsidR="00183453" w:rsidTr="001B3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rsidR="00183453" w:rsidRDefault="00183453" w:rsidP="00183453">
            <w:pPr>
              <w:jc w:val="center"/>
              <w:outlineLvl w:val="0"/>
              <w:rPr>
                <w:rFonts w:ascii="Arial" w:hAnsi="Arial" w:cs="Arial"/>
              </w:rPr>
            </w:pPr>
            <w:r>
              <w:rPr>
                <w:rFonts w:ascii="Arial" w:hAnsi="Arial" w:cs="Arial"/>
              </w:rPr>
              <w:t>Hybrid II</w:t>
            </w:r>
          </w:p>
        </w:tc>
        <w:tc>
          <w:tcPr>
            <w:tcW w:w="1795" w:type="dxa"/>
          </w:tcPr>
          <w:p w:rsidR="00183453" w:rsidRDefault="00183453" w:rsidP="00D14868">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Hpv</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Hpv detection of high and low risk (13 types)</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96%</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66.7%</w:t>
            </w:r>
          </w:p>
        </w:tc>
      </w:tr>
      <w:tr w:rsidR="007B7FF2" w:rsidTr="001B3278">
        <w:tc>
          <w:tcPr>
            <w:cnfStyle w:val="001000000000" w:firstRow="0" w:lastRow="0" w:firstColumn="1" w:lastColumn="0" w:oddVBand="0" w:evenVBand="0" w:oddHBand="0" w:evenHBand="0" w:firstRowFirstColumn="0" w:firstRowLastColumn="0" w:lastRowFirstColumn="0" w:lastRowLastColumn="0"/>
            <w:tcW w:w="1795" w:type="dxa"/>
          </w:tcPr>
          <w:p w:rsidR="007B7FF2" w:rsidRDefault="007B7FF2" w:rsidP="00183453">
            <w:pPr>
              <w:jc w:val="center"/>
              <w:outlineLvl w:val="0"/>
              <w:rPr>
                <w:rFonts w:ascii="Arial" w:hAnsi="Arial" w:cs="Arial"/>
              </w:rPr>
            </w:pPr>
            <w:r>
              <w:rPr>
                <w:rFonts w:ascii="Arial" w:hAnsi="Arial" w:cs="Arial"/>
              </w:rPr>
              <w:t>Hybrid III</w:t>
            </w:r>
          </w:p>
        </w:tc>
        <w:tc>
          <w:tcPr>
            <w:tcW w:w="1795" w:type="dxa"/>
          </w:tcPr>
          <w:p w:rsidR="007B7FF2" w:rsidRDefault="007B7FF2" w:rsidP="00D14868">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Hpv</w:t>
            </w:r>
          </w:p>
        </w:tc>
        <w:tc>
          <w:tcPr>
            <w:tcW w:w="1796" w:type="dxa"/>
          </w:tcPr>
          <w:p w:rsidR="007B7FF2"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Hpv detection of high and low risk (13 types)</w:t>
            </w:r>
          </w:p>
        </w:tc>
        <w:tc>
          <w:tcPr>
            <w:tcW w:w="1796" w:type="dxa"/>
          </w:tcPr>
          <w:p w:rsidR="007B7FF2"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87.7 to 96.9%</w:t>
            </w:r>
          </w:p>
        </w:tc>
        <w:tc>
          <w:tcPr>
            <w:tcW w:w="1796" w:type="dxa"/>
          </w:tcPr>
          <w:p w:rsidR="007B7FF2" w:rsidRDefault="007B7FF2" w:rsidP="00183453">
            <w:pPr>
              <w:jc w:val="center"/>
              <w:outlineLvl w:val="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90.6%</w:t>
            </w:r>
          </w:p>
        </w:tc>
      </w:tr>
      <w:tr w:rsidR="00183453" w:rsidTr="001B3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rsidR="00183453" w:rsidRDefault="00183453" w:rsidP="00183453">
            <w:pPr>
              <w:jc w:val="center"/>
              <w:outlineLvl w:val="0"/>
              <w:rPr>
                <w:rFonts w:ascii="Arial" w:hAnsi="Arial" w:cs="Arial"/>
              </w:rPr>
            </w:pPr>
            <w:r>
              <w:rPr>
                <w:rFonts w:ascii="Arial" w:hAnsi="Arial" w:cs="Arial"/>
              </w:rPr>
              <w:t>PCR</w:t>
            </w:r>
          </w:p>
        </w:tc>
        <w:tc>
          <w:tcPr>
            <w:tcW w:w="1795" w:type="dxa"/>
          </w:tcPr>
          <w:p w:rsidR="00183453" w:rsidRDefault="00183453"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Hpv</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Hpv detection of high and low risk (27 types)</w:t>
            </w:r>
          </w:p>
        </w:tc>
        <w:tc>
          <w:tcPr>
            <w:tcW w:w="1796" w:type="dxa"/>
          </w:tcPr>
          <w:p w:rsidR="00183453" w:rsidRDefault="007B7FF2" w:rsidP="007B7FF2">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83.9 to 100% </w:t>
            </w:r>
          </w:p>
        </w:tc>
        <w:tc>
          <w:tcPr>
            <w:tcW w:w="1796" w:type="dxa"/>
          </w:tcPr>
          <w:p w:rsidR="00183453" w:rsidRDefault="007B7FF2" w:rsidP="00183453">
            <w:pPr>
              <w:jc w:val="center"/>
              <w:outlineLvl w:val="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64.1 to 95.1%</w:t>
            </w:r>
          </w:p>
        </w:tc>
      </w:tr>
    </w:tbl>
    <w:p w:rsidR="00183453" w:rsidRPr="00E66D68" w:rsidRDefault="00B44BB9" w:rsidP="00183453">
      <w:pPr>
        <w:jc w:val="center"/>
        <w:outlineLvl w:val="0"/>
        <w:rPr>
          <w:rFonts w:ascii="Arial" w:hAnsi="Arial" w:cs="Arial"/>
          <w:sz w:val="16"/>
          <w:szCs w:val="16"/>
        </w:rPr>
      </w:pPr>
      <w:r w:rsidRPr="00E66D68">
        <w:rPr>
          <w:rFonts w:ascii="Arial" w:hAnsi="Arial" w:cs="Arial"/>
          <w:sz w:val="16"/>
          <w:szCs w:val="16"/>
        </w:rPr>
        <w:t>Source: own elaboration, data obtained from the references consulted.</w:t>
      </w:r>
    </w:p>
    <w:sdt>
      <w:sdtPr>
        <w:rPr>
          <w:rFonts w:asciiTheme="minorHAnsi" w:eastAsiaTheme="minorHAnsi" w:hAnsiTheme="minorHAnsi" w:cstheme="minorBidi"/>
          <w:b w:val="0"/>
          <w:bCs w:val="0"/>
          <w:color w:val="auto"/>
          <w:sz w:val="22"/>
          <w:szCs w:val="22"/>
        </w:rPr>
        <w:id w:val="7932549"/>
        <w:docPartObj>
          <w:docPartGallery w:val="Bibliographies"/>
          <w:docPartUnique/>
        </w:docPartObj>
      </w:sdtPr>
      <w:sdtEndPr>
        <w:rPr>
          <w:lang w:val="es-ES"/>
        </w:rPr>
      </w:sdtEndPr>
      <w:sdtContent>
        <w:p w:rsidR="00D66958" w:rsidRDefault="00D66958">
          <w:pPr>
            <w:pStyle w:val="Ttulo1"/>
            <w:rPr>
              <w:rFonts w:asciiTheme="minorHAnsi" w:eastAsiaTheme="minorHAnsi" w:hAnsiTheme="minorHAnsi" w:cstheme="minorBidi"/>
              <w:b w:val="0"/>
              <w:bCs w:val="0"/>
              <w:color w:val="auto"/>
              <w:sz w:val="22"/>
              <w:szCs w:val="22"/>
            </w:rPr>
            <w:sectPr w:rsidR="00D66958" w:rsidSect="00292F7E">
              <w:type w:val="continuous"/>
              <w:pgSz w:w="12240" w:h="15840"/>
              <w:pgMar w:top="1417" w:right="1701" w:bottom="1417" w:left="1701" w:header="708" w:footer="708" w:gutter="0"/>
              <w:cols w:space="708"/>
              <w:docGrid w:linePitch="360"/>
            </w:sectPr>
          </w:pPr>
        </w:p>
        <w:p w:rsidR="003B2891" w:rsidRDefault="003B2891">
          <w:pPr>
            <w:pStyle w:val="Ttulo1"/>
          </w:pPr>
          <w:r>
            <w:lastRenderedPageBreak/>
            <w:t>References</w:t>
          </w:r>
        </w:p>
        <w:sdt>
          <w:sdtPr>
            <w:rPr>
              <w:lang w:val="es-ES"/>
            </w:rPr>
            <w:id w:val="111145805"/>
            <w:bibliography/>
          </w:sdtPr>
          <w:sdtEndPr/>
          <w:sdtContent>
            <w:p w:rsidR="006C4907" w:rsidRDefault="002C7580" w:rsidP="006C4907">
              <w:pPr>
                <w:pStyle w:val="Bibliografa"/>
                <w:rPr>
                  <w:noProof/>
                  <w:vanish/>
                </w:rPr>
              </w:pPr>
              <w:r>
                <w:rPr>
                  <w:lang w:val="es-ES"/>
                </w:rPr>
                <w:fldChar w:fldCharType="begin"/>
              </w:r>
              <w:r w:rsidR="003B2891">
                <w:rPr>
                  <w:lang w:val="es-ES"/>
                </w:rPr>
                <w:instrText xml:space="preserve"> BIBLIOGRAPHY </w:instrText>
              </w:r>
              <w:r>
                <w:rPr>
                  <w:lang w:val="es-ES"/>
                </w:rPr>
                <w:fldChar w:fldCharType="separate"/>
              </w:r>
              <w:r w:rsidR="006C4907">
                <w:rPr>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4"/>
                <w:gridCol w:w="3801"/>
              </w:tblGrid>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w:t>
                    </w:r>
                  </w:p>
                </w:tc>
                <w:tc>
                  <w:tcPr>
                    <w:tcW w:w="0" w:type="auto"/>
                    <w:hideMark/>
                  </w:tcPr>
                  <w:p w:rsidR="006C4907" w:rsidRDefault="006C4907">
                    <w:pPr>
                      <w:pStyle w:val="Bibliografa"/>
                      <w:rPr>
                        <w:rFonts w:eastAsiaTheme="minorEastAsia"/>
                        <w:noProof/>
                      </w:rPr>
                    </w:pPr>
                    <w:r>
                      <w:rPr>
                        <w:noProof/>
                      </w:rPr>
                      <w:t>Secretariat of Health. Specific Action Program for the Prevention and Control of Cancer of Women 2013-2018. Program. Mexico: Secretary of Health.</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2.</w:t>
                    </w:r>
                  </w:p>
                </w:tc>
                <w:tc>
                  <w:tcPr>
                    <w:tcW w:w="0" w:type="auto"/>
                    <w:hideMark/>
                  </w:tcPr>
                  <w:p w:rsidR="006C4907" w:rsidRDefault="006C4907">
                    <w:pPr>
                      <w:pStyle w:val="Bibliografa"/>
                      <w:rPr>
                        <w:rFonts w:eastAsiaTheme="minorEastAsia"/>
                        <w:noProof/>
                      </w:rPr>
                    </w:pPr>
                    <w:r>
                      <w:rPr>
                        <w:noProof/>
                      </w:rPr>
                      <w:t>Olvera M. Prevalence of cervical uterine cancer, premalignant and. Gazette Hidalguense Health Research. 2015; 8(2).</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3.</w:t>
                    </w:r>
                  </w:p>
                </w:tc>
                <w:tc>
                  <w:tcPr>
                    <w:tcW w:w="0" w:type="auto"/>
                    <w:hideMark/>
                  </w:tcPr>
                  <w:p w:rsidR="006C4907" w:rsidRDefault="006C4907">
                    <w:pPr>
                      <w:pStyle w:val="Bibliografa"/>
                      <w:rPr>
                        <w:rFonts w:eastAsiaTheme="minorEastAsia"/>
                        <w:noProof/>
                      </w:rPr>
                    </w:pPr>
                    <w:r>
                      <w:rPr>
                        <w:noProof/>
                      </w:rPr>
                      <w:t>Herrera y History of the evolution of cervical cancer screening. Rev Med Inst Mex Insurance Soc. 2015; 53(6).</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4.</w:t>
                    </w:r>
                  </w:p>
                </w:tc>
                <w:tc>
                  <w:tcPr>
                    <w:tcW w:w="0" w:type="auto"/>
                    <w:hideMark/>
                  </w:tcPr>
                  <w:p w:rsidR="006C4907" w:rsidRDefault="006C4907">
                    <w:pPr>
                      <w:pStyle w:val="Bibliografa"/>
                      <w:rPr>
                        <w:rFonts w:eastAsiaTheme="minorEastAsia"/>
                        <w:noProof/>
                      </w:rPr>
                    </w:pPr>
                    <w:r>
                      <w:rPr>
                        <w:noProof/>
                      </w:rPr>
                      <w:t xml:space="preserve">Gutiérrez R. Usefulness of molecular techniques for detection of HPV in the prevecion and control of cervical cancer. </w:t>
                    </w:r>
                    <w:r>
                      <w:rPr>
                        <w:noProof/>
                      </w:rPr>
                      <w:lastRenderedPageBreak/>
                      <w:t>AMATGI. 2011; III(5).</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5.</w:t>
                    </w:r>
                  </w:p>
                </w:tc>
                <w:tc>
                  <w:tcPr>
                    <w:tcW w:w="0" w:type="auto"/>
                    <w:hideMark/>
                  </w:tcPr>
                  <w:p w:rsidR="006C4907" w:rsidRDefault="006C4907">
                    <w:pPr>
                      <w:pStyle w:val="Bibliografa"/>
                      <w:rPr>
                        <w:rFonts w:eastAsiaTheme="minorEastAsia"/>
                        <w:noProof/>
                      </w:rPr>
                    </w:pPr>
                    <w:r>
                      <w:rPr>
                        <w:noProof/>
                      </w:rPr>
                      <w:t>Ramos G. Cervical cytology satisfactory, extended ectocervical circular compared with longitudinal. Rev Mex Inst Mex Insurance Soc. 2014; 52(6).</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6.</w:t>
                    </w:r>
                  </w:p>
                </w:tc>
                <w:tc>
                  <w:tcPr>
                    <w:tcW w:w="0" w:type="auto"/>
                    <w:hideMark/>
                  </w:tcPr>
                  <w:p w:rsidR="006C4907" w:rsidRDefault="006C4907">
                    <w:pPr>
                      <w:pStyle w:val="Bibliografa"/>
                      <w:rPr>
                        <w:rFonts w:eastAsiaTheme="minorEastAsia"/>
                        <w:noProof/>
                      </w:rPr>
                    </w:pPr>
                    <w:r>
                      <w:rPr>
                        <w:noProof/>
                      </w:rPr>
                      <w:t>Carrascal M. diagnostic correlation of cervical cytology versus colposcopy in premalignant lesions of cervical cancer. IPS University in Barranquilla. 2013; 9(1).</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7.</w:t>
                    </w:r>
                  </w:p>
                </w:tc>
                <w:tc>
                  <w:tcPr>
                    <w:tcW w:w="0" w:type="auto"/>
                    <w:hideMark/>
                  </w:tcPr>
                  <w:p w:rsidR="006C4907" w:rsidRDefault="006C4907">
                    <w:pPr>
                      <w:pStyle w:val="Bibliografa"/>
                      <w:rPr>
                        <w:rFonts w:eastAsiaTheme="minorEastAsia"/>
                        <w:noProof/>
                      </w:rPr>
                    </w:pPr>
                    <w:r>
                      <w:rPr>
                        <w:noProof/>
                      </w:rPr>
                      <w:t>Sánchez M. diagnostic certainty of the colposcopy, cytology and histology of the intraepithelial lesions of the cervix. Rev Invest Med Southern Mex. 2013; 20(2).</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8.</w:t>
                    </w:r>
                  </w:p>
                </w:tc>
                <w:tc>
                  <w:tcPr>
                    <w:tcW w:w="0" w:type="auto"/>
                    <w:hideMark/>
                  </w:tcPr>
                  <w:p w:rsidR="006C4907" w:rsidRDefault="006C4907">
                    <w:pPr>
                      <w:pStyle w:val="Bibliografa"/>
                      <w:rPr>
                        <w:rFonts w:eastAsiaTheme="minorEastAsia"/>
                        <w:noProof/>
                      </w:rPr>
                    </w:pPr>
                    <w:r>
                      <w:rPr>
                        <w:noProof/>
                      </w:rPr>
                      <w:t>Secretariat of Health. Modification to the Official Mexican Norm NOM-014-SSA2-</w:t>
                    </w:r>
                    <w:r>
                      <w:rPr>
                        <w:noProof/>
                      </w:rPr>
                      <w:lastRenderedPageBreak/>
                      <w:t>1994, for the prevention, detection, diagnosis, treatment, control and surveillance of cervical cancer. Official Mexican Standard. Mexico : Secretariat of Health.</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lastRenderedPageBreak/>
                      <w:t>9.</w:t>
                    </w:r>
                  </w:p>
                </w:tc>
                <w:tc>
                  <w:tcPr>
                    <w:tcW w:w="0" w:type="auto"/>
                    <w:hideMark/>
                  </w:tcPr>
                  <w:p w:rsidR="006C4907" w:rsidRDefault="006C4907">
                    <w:pPr>
                      <w:pStyle w:val="Bibliografa"/>
                      <w:rPr>
                        <w:rFonts w:eastAsiaTheme="minorEastAsia"/>
                        <w:noProof/>
                      </w:rPr>
                    </w:pPr>
                    <w:r>
                      <w:rPr>
                        <w:noProof/>
                      </w:rPr>
                      <w:t>Contreras R. Pap smear and liquid-based cytology in the diagnosis of cancer of the cervix. Civil Hospital of Maracay. Community and Health. 2015; 13(1).</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10.</w:t>
                    </w:r>
                  </w:p>
                </w:tc>
                <w:tc>
                  <w:tcPr>
                    <w:tcW w:w="0" w:type="auto"/>
                    <w:hideMark/>
                  </w:tcPr>
                  <w:p w:rsidR="006C4907" w:rsidRDefault="006C4907">
                    <w:pPr>
                      <w:pStyle w:val="Bibliografa"/>
                      <w:rPr>
                        <w:rFonts w:eastAsiaTheme="minorEastAsia"/>
                        <w:noProof/>
                      </w:rPr>
                    </w:pPr>
                    <w:r>
                      <w:rPr>
                        <w:noProof/>
                      </w:rPr>
                      <w:t>Port of Amaya M. conventional cytology and liquid based on shared sample of cervical neoplasia. Repert Med Cir. 2015; 24(1).</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11.</w:t>
                    </w:r>
                  </w:p>
                </w:tc>
                <w:tc>
                  <w:tcPr>
                    <w:tcW w:w="0" w:type="auto"/>
                    <w:hideMark/>
                  </w:tcPr>
                  <w:p w:rsidR="006C4907" w:rsidRDefault="006C4907">
                    <w:pPr>
                      <w:pStyle w:val="Bibliografa"/>
                      <w:rPr>
                        <w:rFonts w:eastAsiaTheme="minorEastAsia"/>
                        <w:noProof/>
                      </w:rPr>
                    </w:pPr>
                    <w:r>
                      <w:rPr>
                        <w:noProof/>
                      </w:rPr>
                      <w:t>Mittal S. Visual inspection with acetic as a screening test for cervical cancer. Biomed Res. 2013; 1(1).</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12.</w:t>
                    </w:r>
                  </w:p>
                </w:tc>
                <w:tc>
                  <w:tcPr>
                    <w:tcW w:w="0" w:type="auto"/>
                    <w:hideMark/>
                  </w:tcPr>
                  <w:p w:rsidR="006C4907" w:rsidRDefault="006C4907">
                    <w:pPr>
                      <w:pStyle w:val="Bibliografa"/>
                      <w:rPr>
                        <w:rFonts w:eastAsiaTheme="minorEastAsia"/>
                        <w:noProof/>
                      </w:rPr>
                    </w:pPr>
                    <w:r>
                      <w:rPr>
                        <w:noProof/>
                      </w:rPr>
                      <w:t>R S. Analysis and recording of the results of visual inspection with acetic acid (5% VAT). In R S. Practical Manual for visual detection of cervical neoplasia. Lyon, France, 2005. p. 50.</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13.</w:t>
                    </w:r>
                  </w:p>
                </w:tc>
                <w:tc>
                  <w:tcPr>
                    <w:tcW w:w="0" w:type="auto"/>
                    <w:hideMark/>
                  </w:tcPr>
                  <w:p w:rsidR="006C4907" w:rsidRDefault="006C4907">
                    <w:pPr>
                      <w:pStyle w:val="Bibliografa"/>
                      <w:rPr>
                        <w:rFonts w:eastAsiaTheme="minorEastAsia"/>
                        <w:noProof/>
                      </w:rPr>
                    </w:pPr>
                    <w:r>
                      <w:rPr>
                        <w:noProof/>
                      </w:rPr>
                      <w:t>Sankaranarayanan R. Early detection of cervical cancer with visual inspection methods: a summary of completed and on-going studies in India. Bull World Health Organ. 2003; 45(3).</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14.</w:t>
                    </w:r>
                  </w:p>
                </w:tc>
                <w:tc>
                  <w:tcPr>
                    <w:tcW w:w="0" w:type="auto"/>
                    <w:hideMark/>
                  </w:tcPr>
                  <w:p w:rsidR="006C4907" w:rsidRDefault="006C4907">
                    <w:pPr>
                      <w:pStyle w:val="Bibliografa"/>
                      <w:rPr>
                        <w:rFonts w:eastAsiaTheme="minorEastAsia"/>
                        <w:noProof/>
                      </w:rPr>
                    </w:pPr>
                    <w:r>
                      <w:rPr>
                        <w:noProof/>
                      </w:rPr>
                      <w:t>Gonzalez G. Degree of effectiveness and correlation of cytology-colposcopy used as diagnostic tests in a health institution of Santa Marta. DUAZARY. 2013; 10(2).</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15.</w:t>
                    </w:r>
                  </w:p>
                </w:tc>
                <w:tc>
                  <w:tcPr>
                    <w:tcW w:w="0" w:type="auto"/>
                    <w:hideMark/>
                  </w:tcPr>
                  <w:p w:rsidR="006C4907" w:rsidRDefault="006C4907">
                    <w:pPr>
                      <w:pStyle w:val="Bibliografa"/>
                      <w:rPr>
                        <w:rFonts w:eastAsiaTheme="minorEastAsia"/>
                        <w:noProof/>
                      </w:rPr>
                    </w:pPr>
                    <w:r>
                      <w:rPr>
                        <w:noProof/>
                      </w:rPr>
                      <w:t xml:space="preserve">Ulrich K. 2017 update of the European Federation for Colposcopy (EFC) performance standards fot the practice of colposcopy. European Journal of Obstetrics &amp; Gynecology and Reprouctive </w:t>
                    </w:r>
                    <w:r>
                      <w:rPr>
                        <w:noProof/>
                      </w:rPr>
                      <w:lastRenderedPageBreak/>
                      <w:t>Biology. 2018; 224.</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16.</w:t>
                    </w:r>
                  </w:p>
                </w:tc>
                <w:tc>
                  <w:tcPr>
                    <w:tcW w:w="0" w:type="auto"/>
                    <w:hideMark/>
                  </w:tcPr>
                  <w:p w:rsidR="006C4907" w:rsidRDefault="006C4907">
                    <w:pPr>
                      <w:pStyle w:val="Bibliografa"/>
                      <w:rPr>
                        <w:rFonts w:eastAsiaTheme="minorEastAsia"/>
                        <w:noProof/>
                      </w:rPr>
                    </w:pPr>
                    <w:r>
                      <w:rPr>
                        <w:noProof/>
                      </w:rPr>
                      <w:t>Nam K. Colposcopy at a turning point. Med Sci. 2018; 61(1).</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17.</w:t>
                    </w:r>
                  </w:p>
                </w:tc>
                <w:tc>
                  <w:tcPr>
                    <w:tcW w:w="0" w:type="auto"/>
                    <w:hideMark/>
                  </w:tcPr>
                  <w:p w:rsidR="006C4907" w:rsidRDefault="006C4907">
                    <w:pPr>
                      <w:pStyle w:val="Bibliografa"/>
                      <w:rPr>
                        <w:rFonts w:eastAsiaTheme="minorEastAsia"/>
                        <w:noProof/>
                      </w:rPr>
                    </w:pPr>
                    <w:r>
                      <w:rPr>
                        <w:noProof/>
                      </w:rPr>
                      <w:t>Zhao X. The performance of human papillomavirus DNA detection with type 16/18 genotyping by hybrid capture in primary test of cervical cancer screening: a cross-sectional study in 10.669 Chinese women. Clinical Microbiology and Infection xxx. 2018.</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18.</w:t>
                    </w:r>
                  </w:p>
                </w:tc>
                <w:tc>
                  <w:tcPr>
                    <w:tcW w:w="0" w:type="auto"/>
                    <w:hideMark/>
                  </w:tcPr>
                  <w:p w:rsidR="006C4907" w:rsidRDefault="006C4907">
                    <w:pPr>
                      <w:pStyle w:val="Bibliografa"/>
                      <w:rPr>
                        <w:rFonts w:eastAsiaTheme="minorEastAsia"/>
                        <w:noProof/>
                      </w:rPr>
                    </w:pPr>
                    <w:r>
                      <w:rPr>
                        <w:noProof/>
                      </w:rPr>
                      <w:t>Lactobellis M. Clinical validation of Realquality RQ-HPV screen according to the international guidelines for human papillomavirus DNA test requirements for cervical screening. Virology Journal. 2018; 15(48).</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19.</w:t>
                    </w:r>
                  </w:p>
                </w:tc>
                <w:tc>
                  <w:tcPr>
                    <w:tcW w:w="0" w:type="auto"/>
                    <w:hideMark/>
                  </w:tcPr>
                  <w:p w:rsidR="006C4907" w:rsidRDefault="006C4907">
                    <w:pPr>
                      <w:pStyle w:val="Bibliografa"/>
                      <w:rPr>
                        <w:rFonts w:eastAsiaTheme="minorEastAsia"/>
                        <w:noProof/>
                      </w:rPr>
                    </w:pPr>
                    <w:r>
                      <w:rPr>
                        <w:noProof/>
                      </w:rPr>
                      <w:t>Gutierrez L. Molecular diagnosis of human papillomavirus in the development of cervical cancer. Public Health in Mexico. 2009; 51.</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20.</w:t>
                    </w:r>
                  </w:p>
                </w:tc>
                <w:tc>
                  <w:tcPr>
                    <w:tcW w:w="0" w:type="auto"/>
                    <w:hideMark/>
                  </w:tcPr>
                  <w:p w:rsidR="006C4907" w:rsidRDefault="006C4907">
                    <w:pPr>
                      <w:pStyle w:val="Bibliografa"/>
                      <w:rPr>
                        <w:rFonts w:eastAsiaTheme="minorEastAsia"/>
                        <w:noProof/>
                      </w:rPr>
                    </w:pPr>
                    <w:r>
                      <w:rPr>
                        <w:noProof/>
                      </w:rPr>
                      <w:t>Moller D. Clinical and analytical performance of the BD Onclarity HPV assay for detection of CIN2 lesions on SurePath samples. Papillomavirus research. ; 2.</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21.</w:t>
                    </w:r>
                  </w:p>
                </w:tc>
                <w:tc>
                  <w:tcPr>
                    <w:tcW w:w="0" w:type="auto"/>
                    <w:hideMark/>
                  </w:tcPr>
                  <w:p w:rsidR="006C4907" w:rsidRDefault="006C4907">
                    <w:pPr>
                      <w:pStyle w:val="Bibliografa"/>
                      <w:rPr>
                        <w:rFonts w:eastAsiaTheme="minorEastAsia"/>
                        <w:noProof/>
                      </w:rPr>
                    </w:pPr>
                    <w:r>
                      <w:rPr>
                        <w:noProof/>
                      </w:rPr>
                      <w:t>Astudillo O. molecular diagnosis of human papilloma virus. Panorama Tow Doctor. 2014; 8(1).</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22.</w:t>
                    </w:r>
                  </w:p>
                </w:tc>
                <w:tc>
                  <w:tcPr>
                    <w:tcW w:w="0" w:type="auto"/>
                    <w:hideMark/>
                  </w:tcPr>
                  <w:p w:rsidR="006C4907" w:rsidRDefault="006C4907">
                    <w:pPr>
                      <w:pStyle w:val="Bibliografa"/>
                      <w:rPr>
                        <w:rFonts w:eastAsiaTheme="minorEastAsia"/>
                        <w:noProof/>
                      </w:rPr>
                    </w:pPr>
                    <w:r>
                      <w:rPr>
                        <w:noProof/>
                      </w:rPr>
                      <w:t>Sanoja L. Detection and characterization of the human papilloma virus by polymerase chain reaction in cervical samples of students. Community and Health. 2013; 11(2).</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t>23.</w:t>
                    </w:r>
                  </w:p>
                </w:tc>
                <w:tc>
                  <w:tcPr>
                    <w:tcW w:w="0" w:type="auto"/>
                    <w:hideMark/>
                  </w:tcPr>
                  <w:p w:rsidR="006C4907" w:rsidRDefault="006C4907">
                    <w:pPr>
                      <w:pStyle w:val="Bibliografa"/>
                      <w:rPr>
                        <w:rFonts w:eastAsiaTheme="minorEastAsia"/>
                        <w:noProof/>
                      </w:rPr>
                    </w:pPr>
                    <w:r>
                      <w:rPr>
                        <w:noProof/>
                      </w:rPr>
                      <w:t xml:space="preserve">Sharafadeen K. Prevalence and risk factors for genital hish-risk human </w:t>
                    </w:r>
                    <w:r>
                      <w:rPr>
                        <w:noProof/>
                      </w:rPr>
                      <w:lastRenderedPageBreak/>
                      <w:t>papillomavirus infection among women attendin the outpatient clinics of university teaching hospital in Lagos, Nigeria. Pan African Medical Journal. 2017; 28.</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lastRenderedPageBreak/>
                      <w:t>24.</w:t>
                    </w:r>
                  </w:p>
                </w:tc>
                <w:tc>
                  <w:tcPr>
                    <w:tcW w:w="0" w:type="auto"/>
                    <w:hideMark/>
                  </w:tcPr>
                  <w:p w:rsidR="006C4907" w:rsidRDefault="006C4907">
                    <w:pPr>
                      <w:pStyle w:val="Bibliografa"/>
                      <w:rPr>
                        <w:rFonts w:eastAsiaTheme="minorEastAsia"/>
                        <w:noProof/>
                      </w:rPr>
                    </w:pPr>
                    <w:r>
                      <w:rPr>
                        <w:noProof/>
                      </w:rPr>
                      <w:t>Beyazit F. The prevalence of human papillomavirus (HPV) genotypes detected by PCR in women hit normal and abnormal cervico-vaginal cytology. Community and Health. 2018; 11(2).</w:t>
                    </w:r>
                  </w:p>
                </w:tc>
              </w:tr>
              <w:tr w:rsidR="006C4907" w:rsidTr="006C4907">
                <w:trPr>
                  <w:tblCellSpacing w:w="15" w:type="dxa"/>
                </w:trPr>
                <w:tc>
                  <w:tcPr>
                    <w:tcW w:w="0" w:type="auto"/>
                    <w:hideMark/>
                  </w:tcPr>
                  <w:p w:rsidR="006C4907" w:rsidRDefault="006C4907">
                    <w:pPr>
                      <w:pStyle w:val="Bibliografa"/>
                      <w:jc w:val="right"/>
                      <w:rPr>
                        <w:rFonts w:eastAsiaTheme="minorEastAsia"/>
                        <w:noProof/>
                      </w:rPr>
                    </w:pPr>
                    <w:r>
                      <w:rPr>
                        <w:noProof/>
                      </w:rPr>
                      <w:lastRenderedPageBreak/>
                      <w:t>25.</w:t>
                    </w:r>
                  </w:p>
                </w:tc>
                <w:tc>
                  <w:tcPr>
                    <w:tcW w:w="0" w:type="auto"/>
                    <w:hideMark/>
                  </w:tcPr>
                  <w:p w:rsidR="006C4907" w:rsidRDefault="006C4907">
                    <w:pPr>
                      <w:pStyle w:val="Bibliografa"/>
                      <w:rPr>
                        <w:rFonts w:eastAsiaTheme="minorEastAsia"/>
                        <w:noProof/>
                      </w:rPr>
                    </w:pPr>
                    <w:r>
                      <w:rPr>
                        <w:noProof/>
                      </w:rPr>
                      <w:t>Aleksioska I. Prevalence of specific types of human papilloma virus in cervical intraepithelial lesions and cervical cancer in Macedonianan women. Med Arch. 2018; 71(1).</w:t>
                    </w:r>
                  </w:p>
                </w:tc>
              </w:tr>
            </w:tbl>
            <w:p w:rsidR="006C4907" w:rsidRDefault="006C4907" w:rsidP="006C4907">
              <w:pPr>
                <w:pStyle w:val="Bibliografa"/>
                <w:rPr>
                  <w:rFonts w:eastAsiaTheme="minorEastAsia"/>
                  <w:noProof/>
                  <w:vanish/>
                </w:rPr>
              </w:pPr>
              <w:r>
                <w:rPr>
                  <w:noProof/>
                  <w:vanish/>
                </w:rPr>
                <w:t>X</w:t>
              </w:r>
            </w:p>
            <w:p w:rsidR="00104F19" w:rsidRDefault="002C7580" w:rsidP="006C4907">
              <w:pPr>
                <w:rPr>
                  <w:lang w:val="es-ES"/>
                </w:rPr>
                <w:sectPr w:rsidR="00104F19" w:rsidSect="00D66958">
                  <w:type w:val="continuous"/>
                  <w:pgSz w:w="12240" w:h="15840"/>
                  <w:pgMar w:top="1417" w:right="1701" w:bottom="1417" w:left="1701" w:header="708" w:footer="708" w:gutter="0"/>
                  <w:cols w:num="2" w:space="708"/>
                  <w:docGrid w:linePitch="360"/>
                </w:sectPr>
              </w:pPr>
              <w:r>
                <w:rPr>
                  <w:lang w:val="es-ES"/>
                </w:rPr>
                <w:fldChar w:fldCharType="end"/>
              </w:r>
            </w:p>
            <w:p w:rsidR="003B2891" w:rsidRDefault="00EE4856" w:rsidP="006C4907">
              <w:pPr>
                <w:rPr>
                  <w:lang w:val="es-ES"/>
                </w:rPr>
              </w:pPr>
            </w:p>
          </w:sdtContent>
        </w:sdt>
      </w:sdtContent>
    </w:sdt>
    <w:p w:rsidR="00F00712" w:rsidRDefault="00F00712" w:rsidP="003B2891">
      <w:pPr>
        <w:jc w:val="both"/>
        <w:rPr>
          <w:lang w:val="es-ES"/>
        </w:rPr>
      </w:pPr>
    </w:p>
    <w:p w:rsidR="00F27F50" w:rsidRPr="001354BE" w:rsidRDefault="00F27F50" w:rsidP="00B63ABC">
      <w:pPr>
        <w:pStyle w:val="Sinespaciado"/>
        <w:jc w:val="both"/>
        <w:rPr>
          <w:rFonts w:ascii="Arial" w:hAnsi="Arial" w:cs="Arial"/>
        </w:rPr>
      </w:pPr>
    </w:p>
    <w:sectPr w:rsidR="00F27F50" w:rsidRPr="001354BE" w:rsidSect="00D66958">
      <w:type w:val="continuous"/>
      <w:pgSz w:w="12240" w:h="15840"/>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856" w:rsidRDefault="00EE4856" w:rsidP="00CE4A3B">
      <w:pPr>
        <w:spacing w:after="0" w:line="240" w:lineRule="auto"/>
      </w:pPr>
      <w:r>
        <w:separator/>
      </w:r>
    </w:p>
  </w:endnote>
  <w:endnote w:type="continuationSeparator" w:id="0">
    <w:p w:rsidR="00EE4856" w:rsidRDefault="00EE4856" w:rsidP="00CE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24D" w:rsidRDefault="00EE4856" w:rsidP="0066524D">
    <w:pPr>
      <w:pStyle w:val="Piedepgina"/>
      <w:jc w:val="right"/>
    </w:pPr>
    <w:sdt>
      <w:sdtPr>
        <w:id w:val="1931217"/>
        <w:docPartObj>
          <w:docPartGallery w:val="Page Numbers (Bottom of Page)"/>
          <w:docPartUnique/>
        </w:docPartObj>
      </w:sdtPr>
      <w:sdtEndPr/>
      <w:sdtContent>
        <w:r>
          <w:fldChar w:fldCharType="begin"/>
        </w:r>
        <w:r>
          <w:instrText xml:space="preserve"> PAGE   \* MERGEFORMAT </w:instrText>
        </w:r>
        <w:r>
          <w:fldChar w:fldCharType="separate"/>
        </w:r>
        <w:r w:rsidR="00E109D4">
          <w:rPr>
            <w:noProof/>
          </w:rPr>
          <w:t>2</w:t>
        </w:r>
        <w:r>
          <w:rPr>
            <w:noProof/>
          </w:rPr>
          <w:fldChar w:fldCharType="end"/>
        </w:r>
      </w:sdtContent>
    </w:sdt>
  </w:p>
  <w:p w:rsidR="0066524D" w:rsidRDefault="0066524D" w:rsidP="0066524D">
    <w:pPr>
      <w:pStyle w:val="Piedepgina"/>
      <w:jc w:val="right"/>
    </w:pPr>
    <w: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1214"/>
      <w:docPartObj>
        <w:docPartGallery w:val="Page Numbers (Bottom of Page)"/>
        <w:docPartUnique/>
      </w:docPartObj>
    </w:sdtPr>
    <w:sdtEndPr/>
    <w:sdtContent>
      <w:p w:rsidR="0066524D" w:rsidRDefault="00EE4856">
        <w:pPr>
          <w:pStyle w:val="Piedepgina"/>
          <w:jc w:val="right"/>
        </w:pPr>
        <w:r>
          <w:fldChar w:fldCharType="begin"/>
        </w:r>
        <w:r>
          <w:instrText xml:space="preserve"> PAGE   \* MERGEFORMAT </w:instrText>
        </w:r>
        <w:r>
          <w:fldChar w:fldCharType="separate"/>
        </w:r>
        <w:r w:rsidR="00E109D4">
          <w:rPr>
            <w:noProof/>
          </w:rPr>
          <w:t>11</w:t>
        </w:r>
        <w:r>
          <w:rPr>
            <w:noProof/>
          </w:rPr>
          <w:fldChar w:fldCharType="end"/>
        </w:r>
      </w:p>
    </w:sdtContent>
  </w:sdt>
  <w:p w:rsidR="0066524D" w:rsidRDefault="0066524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24D" w:rsidRDefault="0066524D" w:rsidP="00C1487F">
    <w:pPr>
      <w:pStyle w:val="Piedepgina"/>
      <w:jc w:val="right"/>
    </w:pPr>
    <w:r>
      <w:t>1/12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856" w:rsidRDefault="00EE4856" w:rsidP="00CE4A3B">
      <w:pPr>
        <w:spacing w:after="0" w:line="240" w:lineRule="auto"/>
      </w:pPr>
      <w:r>
        <w:separator/>
      </w:r>
    </w:p>
  </w:footnote>
  <w:footnote w:type="continuationSeparator" w:id="0">
    <w:p w:rsidR="00EE4856" w:rsidRDefault="00EE4856" w:rsidP="00CE4A3B">
      <w:pPr>
        <w:spacing w:after="0" w:line="240" w:lineRule="auto"/>
      </w:pPr>
      <w:r>
        <w:continuationSeparator/>
      </w:r>
    </w:p>
  </w:footnote>
  <w:footnote w:id="1">
    <w:p w:rsidR="0066524D" w:rsidRDefault="0066524D">
      <w:pPr>
        <w:pStyle w:val="Textonotapie"/>
      </w:pPr>
      <w:r>
        <w:rPr>
          <w:rStyle w:val="Refdenotaalpie"/>
        </w:rPr>
        <w:footnoteRef/>
      </w:r>
      <w:r>
        <w:t> CCU, cervical cancer. </w:t>
      </w:r>
    </w:p>
  </w:footnote>
  <w:footnote w:id="2">
    <w:p w:rsidR="0066524D" w:rsidRDefault="0066524D">
      <w:pPr>
        <w:pStyle w:val="Textonotapie"/>
      </w:pPr>
      <w:r>
        <w:rPr>
          <w:rStyle w:val="Refdenotaalpie"/>
        </w:rPr>
        <w:footnoteRef/>
      </w:r>
      <w:r w:rsidR="00E821BD">
        <w:t> HPV</w:t>
      </w:r>
      <w:r>
        <w:t>, human papilloma virus.</w:t>
      </w:r>
    </w:p>
  </w:footnote>
  <w:footnote w:id="3">
    <w:p w:rsidR="0066524D" w:rsidRDefault="0066524D">
      <w:pPr>
        <w:pStyle w:val="Textonotapie"/>
      </w:pPr>
      <w:r>
        <w:rPr>
          <w:rStyle w:val="Refdenotaalpie"/>
        </w:rPr>
        <w:footnoteRef/>
      </w:r>
      <w:r>
        <w:t> NOM, Mexican Official Standard.</w:t>
      </w:r>
    </w:p>
  </w:footnote>
  <w:footnote w:id="4">
    <w:p w:rsidR="0066524D" w:rsidRDefault="0066524D">
      <w:pPr>
        <w:pStyle w:val="Textonotapie"/>
      </w:pPr>
      <w:r>
        <w:rPr>
          <w:rStyle w:val="Refdenotaalpie"/>
        </w:rPr>
        <w:footnoteRef/>
      </w:r>
      <w:r>
        <w:t> SSA, Secretariat of Health. </w:t>
      </w:r>
    </w:p>
  </w:footnote>
  <w:footnote w:id="5">
    <w:p w:rsidR="0066524D" w:rsidRPr="00821E00" w:rsidRDefault="0066524D">
      <w:pPr>
        <w:pStyle w:val="Textonotapie"/>
        <w:rPr>
          <w:rFonts w:ascii="Arial" w:hAnsi="Arial" w:cs="Arial"/>
        </w:rPr>
      </w:pPr>
      <w:r w:rsidRPr="00821E00">
        <w:rPr>
          <w:rStyle w:val="Refdenotaalpie"/>
          <w:rFonts w:ascii="Arial" w:hAnsi="Arial" w:cs="Arial"/>
        </w:rPr>
        <w:footnoteRef/>
      </w:r>
      <w:r w:rsidRPr="00821E00">
        <w:rPr>
          <w:rFonts w:ascii="Arial" w:hAnsi="Arial" w:cs="Arial"/>
        </w:rPr>
        <w:t> LIEA,  high-grade intraepithelial lesions. </w:t>
      </w:r>
    </w:p>
  </w:footnote>
  <w:footnote w:id="6">
    <w:p w:rsidR="0066524D" w:rsidRPr="00821E00" w:rsidRDefault="0066524D">
      <w:pPr>
        <w:pStyle w:val="Textonotapie"/>
        <w:rPr>
          <w:rFonts w:ascii="Arial" w:hAnsi="Arial" w:cs="Arial"/>
        </w:rPr>
      </w:pPr>
      <w:r w:rsidRPr="00821E00">
        <w:rPr>
          <w:rStyle w:val="Refdenotaalpie"/>
          <w:rFonts w:ascii="Arial" w:hAnsi="Arial" w:cs="Arial"/>
        </w:rPr>
        <w:footnoteRef/>
      </w:r>
      <w:r w:rsidRPr="00821E00">
        <w:rPr>
          <w:rFonts w:ascii="Arial" w:hAnsi="Arial" w:cs="Arial"/>
        </w:rPr>
        <w:t> LIEB, intraepitelilaes of low-grade lesions</w:t>
      </w:r>
    </w:p>
  </w:footnote>
  <w:footnote w:id="7">
    <w:p w:rsidR="0066524D" w:rsidRPr="00821E00" w:rsidRDefault="0066524D">
      <w:pPr>
        <w:pStyle w:val="Textonotapie"/>
        <w:rPr>
          <w:rFonts w:ascii="Arial" w:hAnsi="Arial" w:cs="Arial"/>
        </w:rPr>
      </w:pPr>
      <w:r w:rsidRPr="00821E00">
        <w:rPr>
          <w:rStyle w:val="Refdenotaalpie"/>
          <w:rFonts w:ascii="Arial" w:hAnsi="Arial" w:cs="Arial"/>
        </w:rPr>
        <w:footnoteRef/>
      </w:r>
      <w:r w:rsidRPr="00821E00">
        <w:rPr>
          <w:rFonts w:ascii="Arial" w:hAnsi="Arial" w:cs="Arial"/>
        </w:rPr>
        <w:t> ASCUS, atypical cells of undetermined significance.</w:t>
      </w:r>
    </w:p>
  </w:footnote>
  <w:footnote w:id="8">
    <w:p w:rsidR="0066524D" w:rsidRDefault="0066524D">
      <w:pPr>
        <w:pStyle w:val="Textonotapie"/>
      </w:pPr>
      <w:r w:rsidRPr="00821E00">
        <w:rPr>
          <w:rStyle w:val="Refdenotaalpie"/>
          <w:rFonts w:ascii="Arial" w:hAnsi="Arial" w:cs="Arial"/>
        </w:rPr>
        <w:footnoteRef/>
      </w:r>
      <w:r w:rsidRPr="00821E00">
        <w:rPr>
          <w:rFonts w:ascii="Arial" w:hAnsi="Arial" w:cs="Arial"/>
        </w:rPr>
        <w:t> RPM revolutions per minute.</w:t>
      </w:r>
    </w:p>
  </w:footnote>
  <w:footnote w:id="9">
    <w:p w:rsidR="0066524D" w:rsidRPr="00821E00" w:rsidRDefault="0066524D" w:rsidP="00E66D68">
      <w:pPr>
        <w:pStyle w:val="Textonotapie"/>
        <w:rPr>
          <w:rFonts w:ascii="Arial" w:hAnsi="Arial" w:cs="Arial"/>
        </w:rPr>
      </w:pPr>
      <w:r w:rsidRPr="00821E00">
        <w:rPr>
          <w:rStyle w:val="Refdenotaalpie"/>
          <w:rFonts w:ascii="Arial" w:hAnsi="Arial" w:cs="Arial"/>
        </w:rPr>
        <w:footnoteRef/>
      </w:r>
      <w:r w:rsidR="00E821BD">
        <w:rPr>
          <w:rFonts w:ascii="Arial" w:hAnsi="Arial" w:cs="Arial"/>
        </w:rPr>
        <w:t> DNA</w:t>
      </w:r>
      <w:r w:rsidRPr="00821E00">
        <w:rPr>
          <w:rFonts w:ascii="Arial" w:hAnsi="Arial" w:cs="Arial"/>
        </w:rPr>
        <w:t>, deoxyribonucleic acid.</w:t>
      </w:r>
    </w:p>
  </w:footnote>
  <w:footnote w:id="10">
    <w:p w:rsidR="0066524D" w:rsidRPr="00821E00" w:rsidRDefault="0066524D">
      <w:pPr>
        <w:pStyle w:val="Textonotapie"/>
        <w:rPr>
          <w:rFonts w:ascii="Arial" w:hAnsi="Arial" w:cs="Arial"/>
        </w:rPr>
      </w:pPr>
      <w:r w:rsidRPr="00821E00">
        <w:rPr>
          <w:rStyle w:val="Refdenotaalpie"/>
          <w:rFonts w:ascii="Arial" w:hAnsi="Arial" w:cs="Arial"/>
        </w:rPr>
        <w:footnoteRef/>
      </w:r>
      <w:r w:rsidRPr="00821E00">
        <w:rPr>
          <w:rFonts w:ascii="Arial" w:hAnsi="Arial" w:cs="Arial"/>
        </w:rPr>
        <w:t> NIC,  cervical intraepithelial neoplasia.</w:t>
      </w:r>
    </w:p>
  </w:footnote>
  <w:footnote w:id="11">
    <w:p w:rsidR="0066524D" w:rsidRDefault="0066524D" w:rsidP="00396029">
      <w:pPr>
        <w:pStyle w:val="Textonotapie"/>
      </w:pPr>
      <w:r w:rsidRPr="00821E00">
        <w:rPr>
          <w:rStyle w:val="Refdenotaalpie"/>
          <w:rFonts w:ascii="Arial" w:hAnsi="Arial" w:cs="Arial"/>
        </w:rPr>
        <w:footnoteRef/>
      </w:r>
      <w:r w:rsidR="00E821BD">
        <w:rPr>
          <w:rFonts w:ascii="Arial" w:hAnsi="Arial" w:cs="Arial"/>
        </w:rPr>
        <w:t> VAT</w:t>
      </w:r>
      <w:r w:rsidRPr="00821E00">
        <w:rPr>
          <w:rFonts w:ascii="Arial" w:hAnsi="Arial" w:cs="Arial"/>
        </w:rPr>
        <w:t>, visual inspection after application of acetic acid. </w:t>
      </w:r>
    </w:p>
  </w:footnote>
  <w:footnote w:id="12">
    <w:p w:rsidR="0066524D" w:rsidRPr="00821E00" w:rsidRDefault="0066524D">
      <w:pPr>
        <w:pStyle w:val="Textonotapie"/>
        <w:rPr>
          <w:rFonts w:ascii="Arial" w:hAnsi="Arial" w:cs="Arial"/>
        </w:rPr>
      </w:pPr>
      <w:r w:rsidRPr="00821E00">
        <w:rPr>
          <w:rStyle w:val="Refdenotaalpie"/>
          <w:rFonts w:ascii="Arial" w:hAnsi="Arial" w:cs="Arial"/>
        </w:rPr>
        <w:footnoteRef/>
      </w:r>
      <w:r w:rsidRPr="00821E00">
        <w:rPr>
          <w:rFonts w:ascii="Arial" w:hAnsi="Arial" w:cs="Arial"/>
        </w:rPr>
        <w:t> IVL, visual inspection after applying the yodoyodurada of Lugol's solution.</w:t>
      </w:r>
    </w:p>
  </w:footnote>
  <w:footnote w:id="13">
    <w:p w:rsidR="0066524D" w:rsidRDefault="0066524D">
      <w:pPr>
        <w:pStyle w:val="Textonotapie"/>
      </w:pPr>
      <w:r>
        <w:rPr>
          <w:rStyle w:val="Refdenotaalpie"/>
        </w:rPr>
        <w:footnoteRef/>
      </w:r>
      <w:r>
        <w:t> Hpv, human papilloma virus.</w:t>
      </w:r>
    </w:p>
  </w:footnote>
  <w:footnote w:id="14">
    <w:p w:rsidR="0066524D" w:rsidRDefault="0066524D">
      <w:pPr>
        <w:pStyle w:val="Textonotapie"/>
      </w:pPr>
      <w:r>
        <w:rPr>
          <w:rStyle w:val="Refdenotaalpie"/>
        </w:rPr>
        <w:footnoteRef/>
      </w:r>
      <w:r>
        <w:t> Dna, </w:t>
      </w:r>
      <w:r w:rsidRPr="002148CF">
        <w:t>deoxyribonucleic acid.</w:t>
      </w:r>
    </w:p>
  </w:footnote>
  <w:footnote w:id="15">
    <w:p w:rsidR="0066524D" w:rsidRDefault="0066524D">
      <w:pPr>
        <w:pStyle w:val="Textonotapie"/>
      </w:pPr>
      <w:r>
        <w:rPr>
          <w:rStyle w:val="Refdenotaalpie"/>
        </w:rPr>
        <w:footnoteRef/>
      </w:r>
      <w:r>
        <w:t> HPV, human papilloma virus.</w:t>
      </w:r>
    </w:p>
  </w:footnote>
  <w:footnote w:id="16">
    <w:p w:rsidR="0066524D" w:rsidRDefault="0066524D">
      <w:pPr>
        <w:pStyle w:val="Textonotapie"/>
      </w:pPr>
      <w:r>
        <w:rPr>
          <w:rStyle w:val="Refdenotaalpie"/>
        </w:rPr>
        <w:footnoteRef/>
      </w:r>
      <w:r>
        <w:t> Rna, ribonucleic acid.</w:t>
      </w:r>
    </w:p>
  </w:footnote>
  <w:footnote w:id="17">
    <w:p w:rsidR="0066524D" w:rsidRDefault="0066524D">
      <w:pPr>
        <w:pStyle w:val="Textonotapie"/>
      </w:pPr>
      <w:r>
        <w:rPr>
          <w:rStyle w:val="Refdenotaalpie"/>
        </w:rPr>
        <w:footnoteRef/>
      </w:r>
      <w:r>
        <w:t> PCR Polymerase chain reaction. </w:t>
      </w:r>
    </w:p>
  </w:footnote>
  <w:footnote w:id="18">
    <w:p w:rsidR="0066524D" w:rsidRDefault="0066524D">
      <w:pPr>
        <w:pStyle w:val="Textonotapie"/>
      </w:pPr>
      <w:r>
        <w:rPr>
          <w:rStyle w:val="Refdenotaalpie"/>
        </w:rPr>
        <w:footnoteRef/>
      </w:r>
      <w:r>
        <w:t> </w:t>
      </w:r>
      <w:r w:rsidRPr="00AE5BEF">
        <w:t>Dna, deoxyribonucleic acid.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24D" w:rsidRPr="00C1487F" w:rsidRDefault="0066524D" w:rsidP="0066524D">
    <w:pPr>
      <w:jc w:val="right"/>
      <w:rPr>
        <w:rFonts w:ascii="Arial" w:hAnsi="Arial" w:cs="Arial"/>
        <w:sz w:val="16"/>
        <w:szCs w:val="16"/>
      </w:rPr>
    </w:pPr>
    <w:r w:rsidRPr="00C1487F">
      <w:rPr>
        <w:rFonts w:ascii="Arial" w:hAnsi="Arial" w:cs="Arial"/>
        <w:sz w:val="16"/>
        <w:szCs w:val="16"/>
      </w:rPr>
      <w:t>Samperio Calderon., </w:t>
    </w:r>
    <w:r>
      <w:rPr>
        <w:rFonts w:ascii="Arial" w:hAnsi="Arial" w:cs="Arial"/>
        <w:sz w:val="16"/>
        <w:szCs w:val="16"/>
      </w:rPr>
      <w:t>effectiveness of diagnostic testing for cervical cancer and human papillomavirus.</w:t>
    </w:r>
  </w:p>
  <w:p w:rsidR="0066524D" w:rsidRDefault="0066524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24D" w:rsidRPr="00C1487F" w:rsidRDefault="0066524D" w:rsidP="0066524D">
    <w:pPr>
      <w:pStyle w:val="Encabezado"/>
      <w:rPr>
        <w:rFonts w:ascii="Arial" w:hAnsi="Arial" w:cs="Arial"/>
        <w:sz w:val="16"/>
        <w:szCs w:val="16"/>
      </w:rPr>
    </w:pPr>
    <w:r w:rsidRPr="001707C4">
      <w:rPr>
        <w:rFonts w:ascii="Arial" w:hAnsi="Arial" w:cs="Arial"/>
        <w:sz w:val="16"/>
        <w:szCs w:val="16"/>
      </w:rPr>
      <w:t>Rev Public Health of Pachuca 2018, vol. 3, no. 5, 62-72.</w:t>
    </w:r>
  </w:p>
  <w:p w:rsidR="0066524D" w:rsidRPr="001707C4" w:rsidRDefault="0066524D" w:rsidP="001707C4">
    <w:pPr>
      <w:pStyle w:val="Encabezado"/>
      <w:jc w:val="right"/>
      <w:rPr>
        <w:rFonts w:ascii="Arial" w:hAnsi="Arial" w:cs="Arial"/>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24D" w:rsidRPr="001707C4" w:rsidRDefault="0066524D" w:rsidP="001707C4">
    <w:pPr>
      <w:pStyle w:val="Encabezado"/>
      <w:jc w:val="right"/>
      <w:rPr>
        <w:rFonts w:ascii="Arial" w:hAnsi="Arial" w:cs="Arial"/>
        <w:sz w:val="16"/>
        <w:szCs w:val="16"/>
      </w:rPr>
    </w:pPr>
    <w:r w:rsidRPr="001707C4">
      <w:rPr>
        <w:rFonts w:ascii="Arial" w:hAnsi="Arial" w:cs="Arial"/>
        <w:sz w:val="16"/>
        <w:szCs w:val="16"/>
      </w:rPr>
      <w:t>Rev Salud Pública de Pachuca</w:t>
    </w:r>
  </w:p>
  <w:p w:rsidR="0066524D" w:rsidRPr="001707C4" w:rsidRDefault="0066524D" w:rsidP="001707C4">
    <w:pPr>
      <w:pStyle w:val="Encabezado"/>
      <w:jc w:val="right"/>
      <w:rPr>
        <w:rFonts w:ascii="Arial" w:hAnsi="Arial" w:cs="Arial"/>
        <w:sz w:val="16"/>
        <w:szCs w:val="16"/>
      </w:rPr>
    </w:pPr>
    <w:r w:rsidRPr="001707C4">
      <w:rPr>
        <w:rFonts w:ascii="Arial" w:hAnsi="Arial" w:cs="Arial"/>
        <w:sz w:val="16"/>
        <w:szCs w:val="16"/>
      </w:rPr>
      <w:t>2018, vol. 3, no. 5, 62-72.</w:t>
    </w:r>
  </w:p>
  <w:p w:rsidR="0066524D" w:rsidRPr="001707C4" w:rsidRDefault="00E821BD" w:rsidP="00E821BD">
    <w:pPr>
      <w:pStyle w:val="Encabezado"/>
      <w:jc w:val="center"/>
      <w:rPr>
        <w:rFonts w:ascii="Arial" w:hAnsi="Arial" w:cs="Arial"/>
      </w:rPr>
    </w:pPr>
    <w:r w:rsidRPr="00E821BD">
      <w:rPr>
        <w:rFonts w:ascii="Arial" w:hAnsi="Arial" w:cs="Arial"/>
      </w:rPr>
      <w:br/>
      <w:t>REVIEW ARTICLE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9F255E"/>
    <w:multiLevelType w:val="hybridMultilevel"/>
    <w:tmpl w:val="33C4640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nsid w:val="1E763F39"/>
    <w:multiLevelType w:val="hybridMultilevel"/>
    <w:tmpl w:val="41C225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B06A5"/>
    <w:rsid w:val="0000425F"/>
    <w:rsid w:val="000429A8"/>
    <w:rsid w:val="000429EB"/>
    <w:rsid w:val="00052C82"/>
    <w:rsid w:val="00060FD4"/>
    <w:rsid w:val="00064A2F"/>
    <w:rsid w:val="000A7D48"/>
    <w:rsid w:val="000B1F0A"/>
    <w:rsid w:val="000B5EFE"/>
    <w:rsid w:val="000B62FC"/>
    <w:rsid w:val="000C2CD4"/>
    <w:rsid w:val="000C53EB"/>
    <w:rsid w:val="000D3B1B"/>
    <w:rsid w:val="000E494D"/>
    <w:rsid w:val="000F1622"/>
    <w:rsid w:val="000F4F11"/>
    <w:rsid w:val="000F5134"/>
    <w:rsid w:val="000F5375"/>
    <w:rsid w:val="000F592C"/>
    <w:rsid w:val="00104F19"/>
    <w:rsid w:val="00106B23"/>
    <w:rsid w:val="00111D37"/>
    <w:rsid w:val="00114312"/>
    <w:rsid w:val="001170A9"/>
    <w:rsid w:val="00134986"/>
    <w:rsid w:val="001354BE"/>
    <w:rsid w:val="00136B38"/>
    <w:rsid w:val="00156C0B"/>
    <w:rsid w:val="001707C4"/>
    <w:rsid w:val="00183453"/>
    <w:rsid w:val="001850BB"/>
    <w:rsid w:val="001A2D32"/>
    <w:rsid w:val="001B1BBE"/>
    <w:rsid w:val="001B3278"/>
    <w:rsid w:val="001B349B"/>
    <w:rsid w:val="001C071C"/>
    <w:rsid w:val="001C3457"/>
    <w:rsid w:val="001F2F89"/>
    <w:rsid w:val="001F3C3D"/>
    <w:rsid w:val="00206D86"/>
    <w:rsid w:val="002148CF"/>
    <w:rsid w:val="00227A8C"/>
    <w:rsid w:val="00253DFF"/>
    <w:rsid w:val="00257D4D"/>
    <w:rsid w:val="00275D00"/>
    <w:rsid w:val="00276410"/>
    <w:rsid w:val="002828AF"/>
    <w:rsid w:val="00291772"/>
    <w:rsid w:val="00292F7E"/>
    <w:rsid w:val="002C18A8"/>
    <w:rsid w:val="002C331F"/>
    <w:rsid w:val="002C5C2F"/>
    <w:rsid w:val="002C7580"/>
    <w:rsid w:val="002D12B9"/>
    <w:rsid w:val="002E71B6"/>
    <w:rsid w:val="002E7EC4"/>
    <w:rsid w:val="002F0191"/>
    <w:rsid w:val="0030795C"/>
    <w:rsid w:val="0032049A"/>
    <w:rsid w:val="00324F90"/>
    <w:rsid w:val="00327209"/>
    <w:rsid w:val="0034346A"/>
    <w:rsid w:val="003537B5"/>
    <w:rsid w:val="00354168"/>
    <w:rsid w:val="00372090"/>
    <w:rsid w:val="003938AB"/>
    <w:rsid w:val="00396029"/>
    <w:rsid w:val="003A32E2"/>
    <w:rsid w:val="003A4373"/>
    <w:rsid w:val="003B0EF0"/>
    <w:rsid w:val="003B2891"/>
    <w:rsid w:val="003B6BEF"/>
    <w:rsid w:val="003C5787"/>
    <w:rsid w:val="003D5366"/>
    <w:rsid w:val="003F17E0"/>
    <w:rsid w:val="003F56EB"/>
    <w:rsid w:val="00403A85"/>
    <w:rsid w:val="004308EB"/>
    <w:rsid w:val="0043316B"/>
    <w:rsid w:val="00467769"/>
    <w:rsid w:val="00472597"/>
    <w:rsid w:val="004A075F"/>
    <w:rsid w:val="004A3F7B"/>
    <w:rsid w:val="004A57AD"/>
    <w:rsid w:val="004A73D3"/>
    <w:rsid w:val="004B7CA8"/>
    <w:rsid w:val="004E1B89"/>
    <w:rsid w:val="004E70DD"/>
    <w:rsid w:val="004F568C"/>
    <w:rsid w:val="004F6EBF"/>
    <w:rsid w:val="004F6F4F"/>
    <w:rsid w:val="00500B4D"/>
    <w:rsid w:val="00503E95"/>
    <w:rsid w:val="0051128D"/>
    <w:rsid w:val="00525BBC"/>
    <w:rsid w:val="00544D56"/>
    <w:rsid w:val="00554AE5"/>
    <w:rsid w:val="005733B8"/>
    <w:rsid w:val="005817CE"/>
    <w:rsid w:val="00581BEB"/>
    <w:rsid w:val="005C5ED6"/>
    <w:rsid w:val="005E28B8"/>
    <w:rsid w:val="00645E45"/>
    <w:rsid w:val="0066524D"/>
    <w:rsid w:val="00692429"/>
    <w:rsid w:val="006C4907"/>
    <w:rsid w:val="006D1218"/>
    <w:rsid w:val="006E6CA8"/>
    <w:rsid w:val="006F2F13"/>
    <w:rsid w:val="007103C9"/>
    <w:rsid w:val="00745561"/>
    <w:rsid w:val="00765563"/>
    <w:rsid w:val="00770DDC"/>
    <w:rsid w:val="00772261"/>
    <w:rsid w:val="00794025"/>
    <w:rsid w:val="007A3435"/>
    <w:rsid w:val="007B06A5"/>
    <w:rsid w:val="007B5D85"/>
    <w:rsid w:val="007B5E01"/>
    <w:rsid w:val="007B5F0C"/>
    <w:rsid w:val="007B7FF2"/>
    <w:rsid w:val="007C2A0D"/>
    <w:rsid w:val="007C3820"/>
    <w:rsid w:val="007C4628"/>
    <w:rsid w:val="007D583A"/>
    <w:rsid w:val="008059AE"/>
    <w:rsid w:val="00821E00"/>
    <w:rsid w:val="00824996"/>
    <w:rsid w:val="00834636"/>
    <w:rsid w:val="00853463"/>
    <w:rsid w:val="00856275"/>
    <w:rsid w:val="00882E92"/>
    <w:rsid w:val="00890837"/>
    <w:rsid w:val="008B1CED"/>
    <w:rsid w:val="008B5371"/>
    <w:rsid w:val="008D369F"/>
    <w:rsid w:val="008D7272"/>
    <w:rsid w:val="008E1816"/>
    <w:rsid w:val="008E50FB"/>
    <w:rsid w:val="008F7DB5"/>
    <w:rsid w:val="008F7FF6"/>
    <w:rsid w:val="00902417"/>
    <w:rsid w:val="009136D0"/>
    <w:rsid w:val="00944DC1"/>
    <w:rsid w:val="009457AE"/>
    <w:rsid w:val="00971D8C"/>
    <w:rsid w:val="00973E01"/>
    <w:rsid w:val="00977B13"/>
    <w:rsid w:val="009952EA"/>
    <w:rsid w:val="00997C6E"/>
    <w:rsid w:val="009E5ADF"/>
    <w:rsid w:val="009F65D8"/>
    <w:rsid w:val="009F77FF"/>
    <w:rsid w:val="00A26FC6"/>
    <w:rsid w:val="00A46A49"/>
    <w:rsid w:val="00A5397E"/>
    <w:rsid w:val="00A53B7D"/>
    <w:rsid w:val="00A53CE2"/>
    <w:rsid w:val="00A90ED7"/>
    <w:rsid w:val="00AA3132"/>
    <w:rsid w:val="00AE29A0"/>
    <w:rsid w:val="00AE5BEF"/>
    <w:rsid w:val="00B21CF5"/>
    <w:rsid w:val="00B44BB9"/>
    <w:rsid w:val="00B55312"/>
    <w:rsid w:val="00B57CF3"/>
    <w:rsid w:val="00B60E83"/>
    <w:rsid w:val="00B63ABC"/>
    <w:rsid w:val="00B8735B"/>
    <w:rsid w:val="00B94B1C"/>
    <w:rsid w:val="00BC5015"/>
    <w:rsid w:val="00BD6174"/>
    <w:rsid w:val="00BF2FB0"/>
    <w:rsid w:val="00C01297"/>
    <w:rsid w:val="00C0307D"/>
    <w:rsid w:val="00C1487F"/>
    <w:rsid w:val="00C32161"/>
    <w:rsid w:val="00C40E37"/>
    <w:rsid w:val="00C735C0"/>
    <w:rsid w:val="00C81690"/>
    <w:rsid w:val="00CC1780"/>
    <w:rsid w:val="00CD02BF"/>
    <w:rsid w:val="00CD1488"/>
    <w:rsid w:val="00CE4A3B"/>
    <w:rsid w:val="00CE5779"/>
    <w:rsid w:val="00CE5C76"/>
    <w:rsid w:val="00D1093E"/>
    <w:rsid w:val="00D10F09"/>
    <w:rsid w:val="00D14868"/>
    <w:rsid w:val="00D51B50"/>
    <w:rsid w:val="00D51BCB"/>
    <w:rsid w:val="00D561B6"/>
    <w:rsid w:val="00D66958"/>
    <w:rsid w:val="00D8320F"/>
    <w:rsid w:val="00D865C4"/>
    <w:rsid w:val="00D978D0"/>
    <w:rsid w:val="00DB0B79"/>
    <w:rsid w:val="00DC68CF"/>
    <w:rsid w:val="00DE3E79"/>
    <w:rsid w:val="00DF1061"/>
    <w:rsid w:val="00DF3290"/>
    <w:rsid w:val="00DF37C5"/>
    <w:rsid w:val="00E109D4"/>
    <w:rsid w:val="00E27196"/>
    <w:rsid w:val="00E2747F"/>
    <w:rsid w:val="00E5602B"/>
    <w:rsid w:val="00E61650"/>
    <w:rsid w:val="00E66D68"/>
    <w:rsid w:val="00E821BD"/>
    <w:rsid w:val="00EB45AE"/>
    <w:rsid w:val="00EB58A9"/>
    <w:rsid w:val="00EC6AE5"/>
    <w:rsid w:val="00EE4856"/>
    <w:rsid w:val="00EE7809"/>
    <w:rsid w:val="00EF11DB"/>
    <w:rsid w:val="00EF3E24"/>
    <w:rsid w:val="00F00712"/>
    <w:rsid w:val="00F14D1A"/>
    <w:rsid w:val="00F27F50"/>
    <w:rsid w:val="00F61525"/>
    <w:rsid w:val="00F7077F"/>
    <w:rsid w:val="00FA1AFE"/>
    <w:rsid w:val="00FA4A86"/>
    <w:rsid w:val="00FB1400"/>
    <w:rsid w:val="00FB3737"/>
    <w:rsid w:val="00FB64A0"/>
    <w:rsid w:val="00FC6437"/>
    <w:rsid w:val="00FD0DED"/>
    <w:rsid w:val="00FD1DEE"/>
    <w:rsid w:val="00FF0782"/>
    <w:rsid w:val="00FF22A1"/>
    <w:rsid w:val="00FF50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86323D-C707-452C-B7A2-CEF54A940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E83"/>
  </w:style>
  <w:style w:type="paragraph" w:styleId="Ttulo1">
    <w:name w:val="heading 1"/>
    <w:basedOn w:val="Normal"/>
    <w:next w:val="Normal"/>
    <w:link w:val="Ttulo1Car"/>
    <w:uiPriority w:val="9"/>
    <w:qFormat/>
    <w:rsid w:val="005817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next w:val="Normal"/>
    <w:link w:val="Ttulo4Car"/>
    <w:uiPriority w:val="9"/>
    <w:semiHidden/>
    <w:unhideWhenUsed/>
    <w:qFormat/>
    <w:rsid w:val="00206D8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B3737"/>
    <w:pPr>
      <w:spacing w:after="0" w:line="240" w:lineRule="auto"/>
    </w:pPr>
  </w:style>
  <w:style w:type="paragraph" w:styleId="Prrafodelista">
    <w:name w:val="List Paragraph"/>
    <w:basedOn w:val="Normal"/>
    <w:uiPriority w:val="34"/>
    <w:qFormat/>
    <w:rsid w:val="00060FD4"/>
    <w:pPr>
      <w:ind w:left="720"/>
      <w:contextualSpacing/>
    </w:pPr>
  </w:style>
  <w:style w:type="paragraph" w:styleId="Textodeglobo">
    <w:name w:val="Balloon Text"/>
    <w:basedOn w:val="Normal"/>
    <w:link w:val="TextodegloboCar"/>
    <w:uiPriority w:val="99"/>
    <w:semiHidden/>
    <w:unhideWhenUsed/>
    <w:rsid w:val="004A3F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3F7B"/>
    <w:rPr>
      <w:rFonts w:ascii="Tahoma" w:hAnsi="Tahoma" w:cs="Tahoma"/>
      <w:sz w:val="16"/>
      <w:szCs w:val="16"/>
    </w:rPr>
  </w:style>
  <w:style w:type="character" w:customStyle="1" w:styleId="Ttulo4Car">
    <w:name w:val="Título 4 Car"/>
    <w:basedOn w:val="Fuentedeprrafopredeter"/>
    <w:link w:val="Ttulo4"/>
    <w:uiPriority w:val="9"/>
    <w:semiHidden/>
    <w:rsid w:val="00206D86"/>
    <w:rPr>
      <w:rFonts w:asciiTheme="majorHAnsi" w:eastAsiaTheme="majorEastAsia" w:hAnsiTheme="majorHAnsi" w:cstheme="majorBidi"/>
      <w:b/>
      <w:bCs/>
      <w:i/>
      <w:iCs/>
      <w:color w:val="4F81BD" w:themeColor="accent1"/>
    </w:rPr>
  </w:style>
  <w:style w:type="character" w:customStyle="1" w:styleId="Ttulo1Car">
    <w:name w:val="Título 1 Car"/>
    <w:basedOn w:val="Fuentedeprrafopredeter"/>
    <w:link w:val="Ttulo1"/>
    <w:uiPriority w:val="9"/>
    <w:rsid w:val="005817CE"/>
    <w:rPr>
      <w:rFonts w:asciiTheme="majorHAnsi" w:eastAsiaTheme="majorEastAsia" w:hAnsiTheme="majorHAnsi" w:cstheme="majorBidi"/>
      <w:b/>
      <w:bCs/>
      <w:color w:val="365F91" w:themeColor="accent1" w:themeShade="BF"/>
      <w:sz w:val="28"/>
      <w:szCs w:val="28"/>
    </w:rPr>
  </w:style>
  <w:style w:type="paragraph" w:styleId="Textonotapie">
    <w:name w:val="footnote text"/>
    <w:basedOn w:val="Normal"/>
    <w:link w:val="TextonotapieCar"/>
    <w:uiPriority w:val="99"/>
    <w:semiHidden/>
    <w:unhideWhenUsed/>
    <w:rsid w:val="00CE4A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E4A3B"/>
    <w:rPr>
      <w:sz w:val="20"/>
      <w:szCs w:val="20"/>
    </w:rPr>
  </w:style>
  <w:style w:type="character" w:styleId="Refdenotaalpie">
    <w:name w:val="footnote reference"/>
    <w:basedOn w:val="Fuentedeprrafopredeter"/>
    <w:uiPriority w:val="99"/>
    <w:semiHidden/>
    <w:unhideWhenUsed/>
    <w:rsid w:val="00CE4A3B"/>
    <w:rPr>
      <w:vertAlign w:val="superscript"/>
    </w:rPr>
  </w:style>
  <w:style w:type="paragraph" w:styleId="Encabezado">
    <w:name w:val="header"/>
    <w:basedOn w:val="Normal"/>
    <w:link w:val="EncabezadoCar"/>
    <w:uiPriority w:val="99"/>
    <w:unhideWhenUsed/>
    <w:rsid w:val="009952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52EA"/>
  </w:style>
  <w:style w:type="paragraph" w:styleId="Piedepgina">
    <w:name w:val="footer"/>
    <w:basedOn w:val="Normal"/>
    <w:link w:val="PiedepginaCar"/>
    <w:uiPriority w:val="99"/>
    <w:unhideWhenUsed/>
    <w:rsid w:val="009952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52EA"/>
  </w:style>
  <w:style w:type="character" w:styleId="Nmerodelnea">
    <w:name w:val="line number"/>
    <w:basedOn w:val="Fuentedeprrafopredeter"/>
    <w:uiPriority w:val="99"/>
    <w:semiHidden/>
    <w:unhideWhenUsed/>
    <w:rsid w:val="001B1BBE"/>
  </w:style>
  <w:style w:type="character" w:styleId="Refdecomentario">
    <w:name w:val="annotation reference"/>
    <w:basedOn w:val="Fuentedeprrafopredeter"/>
    <w:uiPriority w:val="99"/>
    <w:semiHidden/>
    <w:unhideWhenUsed/>
    <w:rsid w:val="000F5375"/>
    <w:rPr>
      <w:sz w:val="16"/>
      <w:szCs w:val="16"/>
    </w:rPr>
  </w:style>
  <w:style w:type="paragraph" w:styleId="Textocomentario">
    <w:name w:val="annotation text"/>
    <w:basedOn w:val="Normal"/>
    <w:link w:val="TextocomentarioCar"/>
    <w:uiPriority w:val="99"/>
    <w:semiHidden/>
    <w:unhideWhenUsed/>
    <w:rsid w:val="000F537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F5375"/>
    <w:rPr>
      <w:sz w:val="20"/>
      <w:szCs w:val="20"/>
    </w:rPr>
  </w:style>
  <w:style w:type="paragraph" w:styleId="Asuntodelcomentario">
    <w:name w:val="annotation subject"/>
    <w:basedOn w:val="Textocomentario"/>
    <w:next w:val="Textocomentario"/>
    <w:link w:val="AsuntodelcomentarioCar"/>
    <w:uiPriority w:val="99"/>
    <w:semiHidden/>
    <w:unhideWhenUsed/>
    <w:rsid w:val="000F5375"/>
    <w:rPr>
      <w:b/>
      <w:bCs/>
    </w:rPr>
  </w:style>
  <w:style w:type="character" w:customStyle="1" w:styleId="AsuntodelcomentarioCar">
    <w:name w:val="Asunto del comentario Car"/>
    <w:basedOn w:val="TextocomentarioCar"/>
    <w:link w:val="Asuntodelcomentario"/>
    <w:uiPriority w:val="99"/>
    <w:semiHidden/>
    <w:rsid w:val="000F5375"/>
    <w:rPr>
      <w:b/>
      <w:bCs/>
      <w:sz w:val="20"/>
      <w:szCs w:val="20"/>
    </w:rPr>
  </w:style>
  <w:style w:type="paragraph" w:styleId="HTMLconformatoprevio">
    <w:name w:val="HTML Preformatted"/>
    <w:basedOn w:val="Normal"/>
    <w:link w:val="HTMLconformatoprevioCar"/>
    <w:uiPriority w:val="99"/>
    <w:semiHidden/>
    <w:unhideWhenUsed/>
    <w:rsid w:val="00770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770DDC"/>
    <w:rPr>
      <w:rFonts w:ascii="Courier New" w:eastAsia="Times New Roman" w:hAnsi="Courier New" w:cs="Courier New"/>
      <w:sz w:val="20"/>
      <w:szCs w:val="20"/>
      <w:lang w:eastAsia="es-MX"/>
    </w:rPr>
  </w:style>
  <w:style w:type="character" w:styleId="Hipervnculo">
    <w:name w:val="Hyperlink"/>
    <w:basedOn w:val="Fuentedeprrafopredeter"/>
    <w:uiPriority w:val="99"/>
    <w:unhideWhenUsed/>
    <w:rsid w:val="00C81690"/>
    <w:rPr>
      <w:color w:val="0000FF" w:themeColor="hyperlink"/>
      <w:u w:val="single"/>
    </w:rPr>
  </w:style>
  <w:style w:type="paragraph" w:styleId="Mapadeldocumento">
    <w:name w:val="Document Map"/>
    <w:basedOn w:val="Normal"/>
    <w:link w:val="MapadeldocumentoCar"/>
    <w:uiPriority w:val="99"/>
    <w:semiHidden/>
    <w:unhideWhenUsed/>
    <w:rsid w:val="00EF11DB"/>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EF11DB"/>
    <w:rPr>
      <w:rFonts w:ascii="Tahoma" w:hAnsi="Tahoma" w:cs="Tahoma"/>
      <w:sz w:val="16"/>
      <w:szCs w:val="16"/>
    </w:rPr>
  </w:style>
  <w:style w:type="paragraph" w:styleId="Textonotaalfinal">
    <w:name w:val="endnote text"/>
    <w:basedOn w:val="Normal"/>
    <w:link w:val="TextonotaalfinalCar"/>
    <w:uiPriority w:val="99"/>
    <w:semiHidden/>
    <w:unhideWhenUsed/>
    <w:rsid w:val="00971D8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71D8C"/>
    <w:rPr>
      <w:sz w:val="20"/>
      <w:szCs w:val="20"/>
    </w:rPr>
  </w:style>
  <w:style w:type="character" w:styleId="Refdenotaalfinal">
    <w:name w:val="endnote reference"/>
    <w:basedOn w:val="Fuentedeprrafopredeter"/>
    <w:uiPriority w:val="99"/>
    <w:semiHidden/>
    <w:unhideWhenUsed/>
    <w:rsid w:val="00971D8C"/>
    <w:rPr>
      <w:vertAlign w:val="superscript"/>
    </w:rPr>
  </w:style>
  <w:style w:type="paragraph" w:styleId="Bibliografa">
    <w:name w:val="Bibliography"/>
    <w:basedOn w:val="Normal"/>
    <w:next w:val="Normal"/>
    <w:uiPriority w:val="37"/>
    <w:unhideWhenUsed/>
    <w:rsid w:val="00977B13"/>
  </w:style>
  <w:style w:type="table" w:styleId="Tablaconcuadrcula">
    <w:name w:val="Table Grid"/>
    <w:basedOn w:val="Tablanormal"/>
    <w:uiPriority w:val="59"/>
    <w:rsid w:val="00183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11">
    <w:name w:val="Sombreado claro - Énfasis 11"/>
    <w:basedOn w:val="Tablanormal"/>
    <w:uiPriority w:val="60"/>
    <w:rsid w:val="001B327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92696">
      <w:bodyDiv w:val="1"/>
      <w:marLeft w:val="0"/>
      <w:marRight w:val="0"/>
      <w:marTop w:val="0"/>
      <w:marBottom w:val="0"/>
      <w:divBdr>
        <w:top w:val="none" w:sz="0" w:space="0" w:color="auto"/>
        <w:left w:val="none" w:sz="0" w:space="0" w:color="auto"/>
        <w:bottom w:val="none" w:sz="0" w:space="0" w:color="auto"/>
        <w:right w:val="none" w:sz="0" w:space="0" w:color="auto"/>
      </w:divBdr>
    </w:div>
    <w:div w:id="136338987">
      <w:bodyDiv w:val="1"/>
      <w:marLeft w:val="0"/>
      <w:marRight w:val="0"/>
      <w:marTop w:val="0"/>
      <w:marBottom w:val="0"/>
      <w:divBdr>
        <w:top w:val="none" w:sz="0" w:space="0" w:color="auto"/>
        <w:left w:val="none" w:sz="0" w:space="0" w:color="auto"/>
        <w:bottom w:val="none" w:sz="0" w:space="0" w:color="auto"/>
        <w:right w:val="none" w:sz="0" w:space="0" w:color="auto"/>
      </w:divBdr>
    </w:div>
    <w:div w:id="197817685">
      <w:bodyDiv w:val="1"/>
      <w:marLeft w:val="0"/>
      <w:marRight w:val="0"/>
      <w:marTop w:val="0"/>
      <w:marBottom w:val="0"/>
      <w:divBdr>
        <w:top w:val="none" w:sz="0" w:space="0" w:color="auto"/>
        <w:left w:val="none" w:sz="0" w:space="0" w:color="auto"/>
        <w:bottom w:val="none" w:sz="0" w:space="0" w:color="auto"/>
        <w:right w:val="none" w:sz="0" w:space="0" w:color="auto"/>
      </w:divBdr>
    </w:div>
    <w:div w:id="218518652">
      <w:bodyDiv w:val="1"/>
      <w:marLeft w:val="0"/>
      <w:marRight w:val="0"/>
      <w:marTop w:val="0"/>
      <w:marBottom w:val="0"/>
      <w:divBdr>
        <w:top w:val="none" w:sz="0" w:space="0" w:color="auto"/>
        <w:left w:val="none" w:sz="0" w:space="0" w:color="auto"/>
        <w:bottom w:val="none" w:sz="0" w:space="0" w:color="auto"/>
        <w:right w:val="none" w:sz="0" w:space="0" w:color="auto"/>
      </w:divBdr>
    </w:div>
    <w:div w:id="317000629">
      <w:bodyDiv w:val="1"/>
      <w:marLeft w:val="0"/>
      <w:marRight w:val="0"/>
      <w:marTop w:val="0"/>
      <w:marBottom w:val="0"/>
      <w:divBdr>
        <w:top w:val="none" w:sz="0" w:space="0" w:color="auto"/>
        <w:left w:val="none" w:sz="0" w:space="0" w:color="auto"/>
        <w:bottom w:val="none" w:sz="0" w:space="0" w:color="auto"/>
        <w:right w:val="none" w:sz="0" w:space="0" w:color="auto"/>
      </w:divBdr>
    </w:div>
    <w:div w:id="373048020">
      <w:bodyDiv w:val="1"/>
      <w:marLeft w:val="0"/>
      <w:marRight w:val="0"/>
      <w:marTop w:val="0"/>
      <w:marBottom w:val="0"/>
      <w:divBdr>
        <w:top w:val="none" w:sz="0" w:space="0" w:color="auto"/>
        <w:left w:val="none" w:sz="0" w:space="0" w:color="auto"/>
        <w:bottom w:val="none" w:sz="0" w:space="0" w:color="auto"/>
        <w:right w:val="none" w:sz="0" w:space="0" w:color="auto"/>
      </w:divBdr>
    </w:div>
    <w:div w:id="396976202">
      <w:bodyDiv w:val="1"/>
      <w:marLeft w:val="0"/>
      <w:marRight w:val="0"/>
      <w:marTop w:val="0"/>
      <w:marBottom w:val="0"/>
      <w:divBdr>
        <w:top w:val="none" w:sz="0" w:space="0" w:color="auto"/>
        <w:left w:val="none" w:sz="0" w:space="0" w:color="auto"/>
        <w:bottom w:val="none" w:sz="0" w:space="0" w:color="auto"/>
        <w:right w:val="none" w:sz="0" w:space="0" w:color="auto"/>
      </w:divBdr>
    </w:div>
    <w:div w:id="477846619">
      <w:bodyDiv w:val="1"/>
      <w:marLeft w:val="0"/>
      <w:marRight w:val="0"/>
      <w:marTop w:val="0"/>
      <w:marBottom w:val="0"/>
      <w:divBdr>
        <w:top w:val="none" w:sz="0" w:space="0" w:color="auto"/>
        <w:left w:val="none" w:sz="0" w:space="0" w:color="auto"/>
        <w:bottom w:val="none" w:sz="0" w:space="0" w:color="auto"/>
        <w:right w:val="none" w:sz="0" w:space="0" w:color="auto"/>
      </w:divBdr>
    </w:div>
    <w:div w:id="532888199">
      <w:bodyDiv w:val="1"/>
      <w:marLeft w:val="0"/>
      <w:marRight w:val="0"/>
      <w:marTop w:val="0"/>
      <w:marBottom w:val="0"/>
      <w:divBdr>
        <w:top w:val="none" w:sz="0" w:space="0" w:color="auto"/>
        <w:left w:val="none" w:sz="0" w:space="0" w:color="auto"/>
        <w:bottom w:val="none" w:sz="0" w:space="0" w:color="auto"/>
        <w:right w:val="none" w:sz="0" w:space="0" w:color="auto"/>
      </w:divBdr>
    </w:div>
    <w:div w:id="575558494">
      <w:bodyDiv w:val="1"/>
      <w:marLeft w:val="0"/>
      <w:marRight w:val="0"/>
      <w:marTop w:val="0"/>
      <w:marBottom w:val="0"/>
      <w:divBdr>
        <w:top w:val="none" w:sz="0" w:space="0" w:color="auto"/>
        <w:left w:val="none" w:sz="0" w:space="0" w:color="auto"/>
        <w:bottom w:val="none" w:sz="0" w:space="0" w:color="auto"/>
        <w:right w:val="none" w:sz="0" w:space="0" w:color="auto"/>
      </w:divBdr>
    </w:div>
    <w:div w:id="605232010">
      <w:bodyDiv w:val="1"/>
      <w:marLeft w:val="0"/>
      <w:marRight w:val="0"/>
      <w:marTop w:val="0"/>
      <w:marBottom w:val="0"/>
      <w:divBdr>
        <w:top w:val="none" w:sz="0" w:space="0" w:color="auto"/>
        <w:left w:val="none" w:sz="0" w:space="0" w:color="auto"/>
        <w:bottom w:val="none" w:sz="0" w:space="0" w:color="auto"/>
        <w:right w:val="none" w:sz="0" w:space="0" w:color="auto"/>
      </w:divBdr>
    </w:div>
    <w:div w:id="630015056">
      <w:bodyDiv w:val="1"/>
      <w:marLeft w:val="0"/>
      <w:marRight w:val="0"/>
      <w:marTop w:val="0"/>
      <w:marBottom w:val="0"/>
      <w:divBdr>
        <w:top w:val="none" w:sz="0" w:space="0" w:color="auto"/>
        <w:left w:val="none" w:sz="0" w:space="0" w:color="auto"/>
        <w:bottom w:val="none" w:sz="0" w:space="0" w:color="auto"/>
        <w:right w:val="none" w:sz="0" w:space="0" w:color="auto"/>
      </w:divBdr>
    </w:div>
    <w:div w:id="645087830">
      <w:bodyDiv w:val="1"/>
      <w:marLeft w:val="0"/>
      <w:marRight w:val="0"/>
      <w:marTop w:val="0"/>
      <w:marBottom w:val="0"/>
      <w:divBdr>
        <w:top w:val="none" w:sz="0" w:space="0" w:color="auto"/>
        <w:left w:val="none" w:sz="0" w:space="0" w:color="auto"/>
        <w:bottom w:val="none" w:sz="0" w:space="0" w:color="auto"/>
        <w:right w:val="none" w:sz="0" w:space="0" w:color="auto"/>
      </w:divBdr>
    </w:div>
    <w:div w:id="794641536">
      <w:bodyDiv w:val="1"/>
      <w:marLeft w:val="0"/>
      <w:marRight w:val="0"/>
      <w:marTop w:val="0"/>
      <w:marBottom w:val="0"/>
      <w:divBdr>
        <w:top w:val="none" w:sz="0" w:space="0" w:color="auto"/>
        <w:left w:val="none" w:sz="0" w:space="0" w:color="auto"/>
        <w:bottom w:val="none" w:sz="0" w:space="0" w:color="auto"/>
        <w:right w:val="none" w:sz="0" w:space="0" w:color="auto"/>
      </w:divBdr>
    </w:div>
    <w:div w:id="982275015">
      <w:bodyDiv w:val="1"/>
      <w:marLeft w:val="0"/>
      <w:marRight w:val="0"/>
      <w:marTop w:val="0"/>
      <w:marBottom w:val="0"/>
      <w:divBdr>
        <w:top w:val="none" w:sz="0" w:space="0" w:color="auto"/>
        <w:left w:val="none" w:sz="0" w:space="0" w:color="auto"/>
        <w:bottom w:val="none" w:sz="0" w:space="0" w:color="auto"/>
        <w:right w:val="none" w:sz="0" w:space="0" w:color="auto"/>
      </w:divBdr>
    </w:div>
    <w:div w:id="998264089">
      <w:bodyDiv w:val="1"/>
      <w:marLeft w:val="0"/>
      <w:marRight w:val="0"/>
      <w:marTop w:val="0"/>
      <w:marBottom w:val="0"/>
      <w:divBdr>
        <w:top w:val="none" w:sz="0" w:space="0" w:color="auto"/>
        <w:left w:val="none" w:sz="0" w:space="0" w:color="auto"/>
        <w:bottom w:val="none" w:sz="0" w:space="0" w:color="auto"/>
        <w:right w:val="none" w:sz="0" w:space="0" w:color="auto"/>
      </w:divBdr>
    </w:div>
    <w:div w:id="1043283856">
      <w:bodyDiv w:val="1"/>
      <w:marLeft w:val="0"/>
      <w:marRight w:val="0"/>
      <w:marTop w:val="0"/>
      <w:marBottom w:val="0"/>
      <w:divBdr>
        <w:top w:val="none" w:sz="0" w:space="0" w:color="auto"/>
        <w:left w:val="none" w:sz="0" w:space="0" w:color="auto"/>
        <w:bottom w:val="none" w:sz="0" w:space="0" w:color="auto"/>
        <w:right w:val="none" w:sz="0" w:space="0" w:color="auto"/>
      </w:divBdr>
    </w:div>
    <w:div w:id="1087919682">
      <w:bodyDiv w:val="1"/>
      <w:marLeft w:val="0"/>
      <w:marRight w:val="0"/>
      <w:marTop w:val="0"/>
      <w:marBottom w:val="0"/>
      <w:divBdr>
        <w:top w:val="none" w:sz="0" w:space="0" w:color="auto"/>
        <w:left w:val="none" w:sz="0" w:space="0" w:color="auto"/>
        <w:bottom w:val="none" w:sz="0" w:space="0" w:color="auto"/>
        <w:right w:val="none" w:sz="0" w:space="0" w:color="auto"/>
      </w:divBdr>
    </w:div>
    <w:div w:id="1173446933">
      <w:bodyDiv w:val="1"/>
      <w:marLeft w:val="0"/>
      <w:marRight w:val="0"/>
      <w:marTop w:val="0"/>
      <w:marBottom w:val="0"/>
      <w:divBdr>
        <w:top w:val="none" w:sz="0" w:space="0" w:color="auto"/>
        <w:left w:val="none" w:sz="0" w:space="0" w:color="auto"/>
        <w:bottom w:val="none" w:sz="0" w:space="0" w:color="auto"/>
        <w:right w:val="none" w:sz="0" w:space="0" w:color="auto"/>
      </w:divBdr>
    </w:div>
    <w:div w:id="1174807808">
      <w:bodyDiv w:val="1"/>
      <w:marLeft w:val="0"/>
      <w:marRight w:val="0"/>
      <w:marTop w:val="0"/>
      <w:marBottom w:val="0"/>
      <w:divBdr>
        <w:top w:val="none" w:sz="0" w:space="0" w:color="auto"/>
        <w:left w:val="none" w:sz="0" w:space="0" w:color="auto"/>
        <w:bottom w:val="none" w:sz="0" w:space="0" w:color="auto"/>
        <w:right w:val="none" w:sz="0" w:space="0" w:color="auto"/>
      </w:divBdr>
    </w:div>
    <w:div w:id="1182353919">
      <w:bodyDiv w:val="1"/>
      <w:marLeft w:val="0"/>
      <w:marRight w:val="0"/>
      <w:marTop w:val="0"/>
      <w:marBottom w:val="0"/>
      <w:divBdr>
        <w:top w:val="none" w:sz="0" w:space="0" w:color="auto"/>
        <w:left w:val="none" w:sz="0" w:space="0" w:color="auto"/>
        <w:bottom w:val="none" w:sz="0" w:space="0" w:color="auto"/>
        <w:right w:val="none" w:sz="0" w:space="0" w:color="auto"/>
      </w:divBdr>
    </w:div>
    <w:div w:id="1265462047">
      <w:bodyDiv w:val="1"/>
      <w:marLeft w:val="0"/>
      <w:marRight w:val="0"/>
      <w:marTop w:val="0"/>
      <w:marBottom w:val="0"/>
      <w:divBdr>
        <w:top w:val="none" w:sz="0" w:space="0" w:color="auto"/>
        <w:left w:val="none" w:sz="0" w:space="0" w:color="auto"/>
        <w:bottom w:val="none" w:sz="0" w:space="0" w:color="auto"/>
        <w:right w:val="none" w:sz="0" w:space="0" w:color="auto"/>
      </w:divBdr>
    </w:div>
    <w:div w:id="1480460292">
      <w:bodyDiv w:val="1"/>
      <w:marLeft w:val="0"/>
      <w:marRight w:val="0"/>
      <w:marTop w:val="0"/>
      <w:marBottom w:val="0"/>
      <w:divBdr>
        <w:top w:val="none" w:sz="0" w:space="0" w:color="auto"/>
        <w:left w:val="none" w:sz="0" w:space="0" w:color="auto"/>
        <w:bottom w:val="none" w:sz="0" w:space="0" w:color="auto"/>
        <w:right w:val="none" w:sz="0" w:space="0" w:color="auto"/>
      </w:divBdr>
    </w:div>
    <w:div w:id="1731268007">
      <w:bodyDiv w:val="1"/>
      <w:marLeft w:val="0"/>
      <w:marRight w:val="0"/>
      <w:marTop w:val="0"/>
      <w:marBottom w:val="0"/>
      <w:divBdr>
        <w:top w:val="none" w:sz="0" w:space="0" w:color="auto"/>
        <w:left w:val="none" w:sz="0" w:space="0" w:color="auto"/>
        <w:bottom w:val="none" w:sz="0" w:space="0" w:color="auto"/>
        <w:right w:val="none" w:sz="0" w:space="0" w:color="auto"/>
      </w:divBdr>
    </w:div>
    <w:div w:id="1811291122">
      <w:bodyDiv w:val="1"/>
      <w:marLeft w:val="0"/>
      <w:marRight w:val="0"/>
      <w:marTop w:val="0"/>
      <w:marBottom w:val="0"/>
      <w:divBdr>
        <w:top w:val="none" w:sz="0" w:space="0" w:color="auto"/>
        <w:left w:val="none" w:sz="0" w:space="0" w:color="auto"/>
        <w:bottom w:val="none" w:sz="0" w:space="0" w:color="auto"/>
        <w:right w:val="none" w:sz="0" w:space="0" w:color="auto"/>
      </w:divBdr>
    </w:div>
    <w:div w:id="1826974245">
      <w:bodyDiv w:val="1"/>
      <w:marLeft w:val="0"/>
      <w:marRight w:val="0"/>
      <w:marTop w:val="0"/>
      <w:marBottom w:val="0"/>
      <w:divBdr>
        <w:top w:val="none" w:sz="0" w:space="0" w:color="auto"/>
        <w:left w:val="none" w:sz="0" w:space="0" w:color="auto"/>
        <w:bottom w:val="none" w:sz="0" w:space="0" w:color="auto"/>
        <w:right w:val="none" w:sz="0" w:space="0" w:color="auto"/>
      </w:divBdr>
    </w:div>
    <w:div w:id="1855264107">
      <w:bodyDiv w:val="1"/>
      <w:marLeft w:val="0"/>
      <w:marRight w:val="0"/>
      <w:marTop w:val="0"/>
      <w:marBottom w:val="0"/>
      <w:divBdr>
        <w:top w:val="none" w:sz="0" w:space="0" w:color="auto"/>
        <w:left w:val="none" w:sz="0" w:space="0" w:color="auto"/>
        <w:bottom w:val="none" w:sz="0" w:space="0" w:color="auto"/>
        <w:right w:val="none" w:sz="0" w:space="0" w:color="auto"/>
      </w:divBdr>
    </w:div>
    <w:div w:id="2025664735">
      <w:bodyDiv w:val="1"/>
      <w:marLeft w:val="0"/>
      <w:marRight w:val="0"/>
      <w:marTop w:val="0"/>
      <w:marBottom w:val="0"/>
      <w:divBdr>
        <w:top w:val="none" w:sz="0" w:space="0" w:color="auto"/>
        <w:left w:val="none" w:sz="0" w:space="0" w:color="auto"/>
        <w:bottom w:val="none" w:sz="0" w:space="0" w:color="auto"/>
        <w:right w:val="none" w:sz="0" w:space="0" w:color="auto"/>
      </w:divBdr>
    </w:div>
    <w:div w:id="209697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r.eduardosamperio@hotmail.com" TargetMode="External"/><Relationship Id="rId13" Type="http://schemas.openxmlformats.org/officeDocument/2006/relationships/header" Target="header3.xml"/><Relationship Id="rId18" Type="http://schemas.openxmlformats.org/officeDocument/2006/relationships/diagramQuickStyle" Target="diagrams/quickStyle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Layout" Target="diagrams/layou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inmunolab.com/attachments/38/LBcaptura_hibrida___qiagen.pdf"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10.jpeg"/><Relationship Id="rId10" Type="http://schemas.openxmlformats.org/officeDocument/2006/relationships/header" Target="header2.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s>
</file>

<file path=word/diagrams/_rels/data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AC0890-8F5F-4D97-B605-FBA64081DD28}"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35181952-2B4F-4FB3-9027-A3D5D7415A72}">
      <dgm:prSet phldrT="[Texto]" phldr="1"/>
      <dgm:spPr>
        <a:blipFill rotWithShape="0">
          <a:blip xmlns:r="http://schemas.openxmlformats.org/officeDocument/2006/relationships" r:embed="rId1"/>
          <a:stretch>
            <a:fillRect/>
          </a:stretch>
        </a:blipFill>
      </dgm:spPr>
      <dgm:t>
        <a:bodyPr/>
        <a:lstStyle/>
        <a:p>
          <a:endParaRPr lang="es-MX"/>
        </a:p>
      </dgm:t>
    </dgm:pt>
    <dgm:pt modelId="{136DDD6C-7D0B-4C82-972F-31333188682D}" type="parTrans" cxnId="{E431E20D-E463-4E2D-BF46-9C8B4EF3D17C}">
      <dgm:prSet/>
      <dgm:spPr/>
      <dgm:t>
        <a:bodyPr/>
        <a:lstStyle/>
        <a:p>
          <a:endParaRPr lang="es-MX"/>
        </a:p>
      </dgm:t>
    </dgm:pt>
    <dgm:pt modelId="{9AE53C2D-EE4C-4CEC-98DD-105CEE86C52C}" type="sibTrans" cxnId="{E431E20D-E463-4E2D-BF46-9C8B4EF3D17C}">
      <dgm:prSet/>
      <dgm:spPr/>
      <dgm:t>
        <a:bodyPr/>
        <a:lstStyle/>
        <a:p>
          <a:endParaRPr lang="es-MX"/>
        </a:p>
      </dgm:t>
    </dgm:pt>
    <dgm:pt modelId="{132A82AB-0DFA-419A-A472-84F75034541E}">
      <dgm:prSet phldrT="[Texto]" phldr="1"/>
      <dgm:spPr>
        <a:blipFill rotWithShape="0">
          <a:blip xmlns:r="http://schemas.openxmlformats.org/officeDocument/2006/relationships" r:embed="rId2"/>
          <a:stretch>
            <a:fillRect/>
          </a:stretch>
        </a:blipFill>
      </dgm:spPr>
      <dgm:t>
        <a:bodyPr/>
        <a:lstStyle/>
        <a:p>
          <a:endParaRPr lang="es-MX"/>
        </a:p>
      </dgm:t>
    </dgm:pt>
    <dgm:pt modelId="{C43B47D3-2A9C-48E8-965D-B6BB5F7CC17D}" type="parTrans" cxnId="{2F18508E-78A7-453D-A41B-F082B3FF813F}">
      <dgm:prSet/>
      <dgm:spPr/>
      <dgm:t>
        <a:bodyPr/>
        <a:lstStyle/>
        <a:p>
          <a:endParaRPr lang="es-MX"/>
        </a:p>
      </dgm:t>
    </dgm:pt>
    <dgm:pt modelId="{86659D66-A2B7-4D93-82C7-F46F5DBF5137}" type="sibTrans" cxnId="{2F18508E-78A7-453D-A41B-F082B3FF813F}">
      <dgm:prSet/>
      <dgm:spPr/>
      <dgm:t>
        <a:bodyPr/>
        <a:lstStyle/>
        <a:p>
          <a:endParaRPr lang="es-MX"/>
        </a:p>
      </dgm:t>
    </dgm:pt>
    <dgm:pt modelId="{C16757E1-9148-44D2-B93A-489351B65452}">
      <dgm:prSet phldrT="[Texto]" phldr="1"/>
      <dgm:spPr>
        <a:blipFill rotWithShape="0">
          <a:blip xmlns:r="http://schemas.openxmlformats.org/officeDocument/2006/relationships" r:embed="rId3"/>
          <a:stretch>
            <a:fillRect/>
          </a:stretch>
        </a:blipFill>
      </dgm:spPr>
      <dgm:t>
        <a:bodyPr/>
        <a:lstStyle/>
        <a:p>
          <a:endParaRPr lang="es-MX"/>
        </a:p>
      </dgm:t>
    </dgm:pt>
    <dgm:pt modelId="{5C62307D-5CFA-40B8-9088-10A58D4CEFEE}" type="parTrans" cxnId="{90A5F02B-4412-4A88-BB33-13FE18127EBE}">
      <dgm:prSet/>
      <dgm:spPr/>
      <dgm:t>
        <a:bodyPr/>
        <a:lstStyle/>
        <a:p>
          <a:endParaRPr lang="es-MX"/>
        </a:p>
      </dgm:t>
    </dgm:pt>
    <dgm:pt modelId="{2AD15193-FD53-4ED1-8812-1ABB06AB6887}" type="sibTrans" cxnId="{90A5F02B-4412-4A88-BB33-13FE18127EBE}">
      <dgm:prSet/>
      <dgm:spPr/>
      <dgm:t>
        <a:bodyPr/>
        <a:lstStyle/>
        <a:p>
          <a:endParaRPr lang="es-MX"/>
        </a:p>
      </dgm:t>
    </dgm:pt>
    <dgm:pt modelId="{F61FA6E8-F788-470C-958A-388C9DB90BF3}">
      <dgm:prSet phldrT="[Texto]" phldr="1"/>
      <dgm:spPr>
        <a:blipFill rotWithShape="0">
          <a:blip xmlns:r="http://schemas.openxmlformats.org/officeDocument/2006/relationships" r:embed="rId4"/>
          <a:stretch>
            <a:fillRect/>
          </a:stretch>
        </a:blipFill>
      </dgm:spPr>
      <dgm:t>
        <a:bodyPr/>
        <a:lstStyle/>
        <a:p>
          <a:endParaRPr lang="es-MX"/>
        </a:p>
      </dgm:t>
    </dgm:pt>
    <dgm:pt modelId="{D01C65EE-1483-4AC5-8D05-CBF63C0BBA42}" type="parTrans" cxnId="{145372D1-F596-4364-A0F6-AF6734F9F51E}">
      <dgm:prSet/>
      <dgm:spPr/>
      <dgm:t>
        <a:bodyPr/>
        <a:lstStyle/>
        <a:p>
          <a:endParaRPr lang="es-MX"/>
        </a:p>
      </dgm:t>
    </dgm:pt>
    <dgm:pt modelId="{78BD971D-DAA4-4A31-98D2-406101CB954D}" type="sibTrans" cxnId="{145372D1-F596-4364-A0F6-AF6734F9F51E}">
      <dgm:prSet/>
      <dgm:spPr/>
      <dgm:t>
        <a:bodyPr/>
        <a:lstStyle/>
        <a:p>
          <a:endParaRPr lang="es-MX"/>
        </a:p>
      </dgm:t>
    </dgm:pt>
    <dgm:pt modelId="{303300CB-5975-44A0-AF59-452A9C0A084F}">
      <dgm:prSet phldrT="[Texto]" phldr="1"/>
      <dgm:spPr>
        <a:blipFill rotWithShape="0">
          <a:blip xmlns:r="http://schemas.openxmlformats.org/officeDocument/2006/relationships" r:embed="rId5"/>
          <a:stretch>
            <a:fillRect/>
          </a:stretch>
        </a:blipFill>
      </dgm:spPr>
      <dgm:t>
        <a:bodyPr/>
        <a:lstStyle/>
        <a:p>
          <a:endParaRPr lang="es-MX"/>
        </a:p>
      </dgm:t>
    </dgm:pt>
    <dgm:pt modelId="{225D95F2-FBF3-498E-9EEB-5F8181C0806E}" type="parTrans" cxnId="{56184FFD-4048-444C-886E-69DA832DE933}">
      <dgm:prSet/>
      <dgm:spPr/>
      <dgm:t>
        <a:bodyPr/>
        <a:lstStyle/>
        <a:p>
          <a:endParaRPr lang="es-MX"/>
        </a:p>
      </dgm:t>
    </dgm:pt>
    <dgm:pt modelId="{8D584FC1-E865-4949-8DF7-EF22626D9631}" type="sibTrans" cxnId="{56184FFD-4048-444C-886E-69DA832DE933}">
      <dgm:prSet/>
      <dgm:spPr/>
      <dgm:t>
        <a:bodyPr/>
        <a:lstStyle/>
        <a:p>
          <a:endParaRPr lang="es-MX"/>
        </a:p>
      </dgm:t>
    </dgm:pt>
    <dgm:pt modelId="{36589A7E-64EF-4BC1-94CB-6D12590AC65D}">
      <dgm:prSet/>
      <dgm:spPr>
        <a:blipFill rotWithShape="0">
          <a:blip xmlns:r="http://schemas.openxmlformats.org/officeDocument/2006/relationships" r:embed="rId6"/>
          <a:stretch>
            <a:fillRect/>
          </a:stretch>
        </a:blipFill>
      </dgm:spPr>
      <dgm:t>
        <a:bodyPr/>
        <a:lstStyle/>
        <a:p>
          <a:endParaRPr lang="es-MX"/>
        </a:p>
      </dgm:t>
    </dgm:pt>
    <dgm:pt modelId="{FA0CE82B-4C0B-4880-A091-2639423EFD46}" type="parTrans" cxnId="{B8870B41-1D0C-41CA-A3B8-39F1649F2CB3}">
      <dgm:prSet/>
      <dgm:spPr/>
      <dgm:t>
        <a:bodyPr/>
        <a:lstStyle/>
        <a:p>
          <a:endParaRPr lang="es-MX"/>
        </a:p>
      </dgm:t>
    </dgm:pt>
    <dgm:pt modelId="{61A20569-1E88-44B3-B405-F12A0D0E271E}" type="sibTrans" cxnId="{B8870B41-1D0C-41CA-A3B8-39F1649F2CB3}">
      <dgm:prSet/>
      <dgm:spPr/>
      <dgm:t>
        <a:bodyPr/>
        <a:lstStyle/>
        <a:p>
          <a:endParaRPr lang="es-MX"/>
        </a:p>
      </dgm:t>
    </dgm:pt>
    <dgm:pt modelId="{BA543445-486C-4223-9F1E-35746EE734A0}" type="pres">
      <dgm:prSet presAssocID="{8CAC0890-8F5F-4D97-B605-FBA64081DD28}" presName="diagram" presStyleCnt="0">
        <dgm:presLayoutVars>
          <dgm:dir/>
          <dgm:resizeHandles val="exact"/>
        </dgm:presLayoutVars>
      </dgm:prSet>
      <dgm:spPr/>
      <dgm:t>
        <a:bodyPr/>
        <a:lstStyle/>
        <a:p>
          <a:endParaRPr lang="es-MX"/>
        </a:p>
      </dgm:t>
    </dgm:pt>
    <dgm:pt modelId="{78CDD86F-1888-4E03-82E7-EFD0A9EE6429}" type="pres">
      <dgm:prSet presAssocID="{35181952-2B4F-4FB3-9027-A3D5D7415A72}" presName="node" presStyleLbl="node1" presStyleIdx="0" presStyleCnt="6" custScaleY="203428">
        <dgm:presLayoutVars>
          <dgm:bulletEnabled val="1"/>
        </dgm:presLayoutVars>
      </dgm:prSet>
      <dgm:spPr/>
      <dgm:t>
        <a:bodyPr/>
        <a:lstStyle/>
        <a:p>
          <a:endParaRPr lang="es-MX"/>
        </a:p>
      </dgm:t>
    </dgm:pt>
    <dgm:pt modelId="{77D43B58-8941-480A-92F1-591FF50653ED}" type="pres">
      <dgm:prSet presAssocID="{9AE53C2D-EE4C-4CEC-98DD-105CEE86C52C}" presName="sibTrans" presStyleLbl="sibTrans2D1" presStyleIdx="0" presStyleCnt="5"/>
      <dgm:spPr/>
      <dgm:t>
        <a:bodyPr/>
        <a:lstStyle/>
        <a:p>
          <a:endParaRPr lang="es-MX"/>
        </a:p>
      </dgm:t>
    </dgm:pt>
    <dgm:pt modelId="{64356CFE-FDD6-46FE-A2D0-B17222E74A94}" type="pres">
      <dgm:prSet presAssocID="{9AE53C2D-EE4C-4CEC-98DD-105CEE86C52C}" presName="connectorText" presStyleLbl="sibTrans2D1" presStyleIdx="0" presStyleCnt="5"/>
      <dgm:spPr/>
      <dgm:t>
        <a:bodyPr/>
        <a:lstStyle/>
        <a:p>
          <a:endParaRPr lang="es-MX"/>
        </a:p>
      </dgm:t>
    </dgm:pt>
    <dgm:pt modelId="{3C8EBEDB-60E9-425C-841B-EF9CD52C7A79}" type="pres">
      <dgm:prSet presAssocID="{132A82AB-0DFA-419A-A472-84F75034541E}" presName="node" presStyleLbl="node1" presStyleIdx="1" presStyleCnt="6" custScaleY="170356">
        <dgm:presLayoutVars>
          <dgm:bulletEnabled val="1"/>
        </dgm:presLayoutVars>
      </dgm:prSet>
      <dgm:spPr/>
      <dgm:t>
        <a:bodyPr/>
        <a:lstStyle/>
        <a:p>
          <a:endParaRPr lang="es-MX"/>
        </a:p>
      </dgm:t>
    </dgm:pt>
    <dgm:pt modelId="{A094E1F5-89F7-40C3-A0A2-7EC74A3F2731}" type="pres">
      <dgm:prSet presAssocID="{86659D66-A2B7-4D93-82C7-F46F5DBF5137}" presName="sibTrans" presStyleLbl="sibTrans2D1" presStyleIdx="1" presStyleCnt="5"/>
      <dgm:spPr/>
      <dgm:t>
        <a:bodyPr/>
        <a:lstStyle/>
        <a:p>
          <a:endParaRPr lang="es-MX"/>
        </a:p>
      </dgm:t>
    </dgm:pt>
    <dgm:pt modelId="{EB351552-21AF-4B87-B994-6120D3DDBEFB}" type="pres">
      <dgm:prSet presAssocID="{86659D66-A2B7-4D93-82C7-F46F5DBF5137}" presName="connectorText" presStyleLbl="sibTrans2D1" presStyleIdx="1" presStyleCnt="5"/>
      <dgm:spPr/>
      <dgm:t>
        <a:bodyPr/>
        <a:lstStyle/>
        <a:p>
          <a:endParaRPr lang="es-MX"/>
        </a:p>
      </dgm:t>
    </dgm:pt>
    <dgm:pt modelId="{5D04E1CE-74EA-4C77-808D-24A597E96CAD}" type="pres">
      <dgm:prSet presAssocID="{C16757E1-9148-44D2-B93A-489351B65452}" presName="node" presStyleLbl="node1" presStyleIdx="2" presStyleCnt="6" custScaleY="176378">
        <dgm:presLayoutVars>
          <dgm:bulletEnabled val="1"/>
        </dgm:presLayoutVars>
      </dgm:prSet>
      <dgm:spPr/>
      <dgm:t>
        <a:bodyPr/>
        <a:lstStyle/>
        <a:p>
          <a:endParaRPr lang="es-MX"/>
        </a:p>
      </dgm:t>
    </dgm:pt>
    <dgm:pt modelId="{42F1FFBB-80AB-4F96-8546-445933905DD7}" type="pres">
      <dgm:prSet presAssocID="{2AD15193-FD53-4ED1-8812-1ABB06AB6887}" presName="sibTrans" presStyleLbl="sibTrans2D1" presStyleIdx="2" presStyleCnt="5"/>
      <dgm:spPr/>
      <dgm:t>
        <a:bodyPr/>
        <a:lstStyle/>
        <a:p>
          <a:endParaRPr lang="es-MX"/>
        </a:p>
      </dgm:t>
    </dgm:pt>
    <dgm:pt modelId="{39784AAC-0300-4365-9B79-0CF47678BAEB}" type="pres">
      <dgm:prSet presAssocID="{2AD15193-FD53-4ED1-8812-1ABB06AB6887}" presName="connectorText" presStyleLbl="sibTrans2D1" presStyleIdx="2" presStyleCnt="5"/>
      <dgm:spPr/>
      <dgm:t>
        <a:bodyPr/>
        <a:lstStyle/>
        <a:p>
          <a:endParaRPr lang="es-MX"/>
        </a:p>
      </dgm:t>
    </dgm:pt>
    <dgm:pt modelId="{DD322526-26FC-4CC7-B9C9-9B47A19ABBA5}" type="pres">
      <dgm:prSet presAssocID="{F61FA6E8-F788-470C-958A-388C9DB90BF3}" presName="node" presStyleLbl="node1" presStyleIdx="3" presStyleCnt="6" custScaleY="192180">
        <dgm:presLayoutVars>
          <dgm:bulletEnabled val="1"/>
        </dgm:presLayoutVars>
      </dgm:prSet>
      <dgm:spPr/>
      <dgm:t>
        <a:bodyPr/>
        <a:lstStyle/>
        <a:p>
          <a:endParaRPr lang="es-MX"/>
        </a:p>
      </dgm:t>
    </dgm:pt>
    <dgm:pt modelId="{0C9E9F72-F0BB-435C-8633-9201ADD16B5D}" type="pres">
      <dgm:prSet presAssocID="{78BD971D-DAA4-4A31-98D2-406101CB954D}" presName="sibTrans" presStyleLbl="sibTrans2D1" presStyleIdx="3" presStyleCnt="5"/>
      <dgm:spPr/>
      <dgm:t>
        <a:bodyPr/>
        <a:lstStyle/>
        <a:p>
          <a:endParaRPr lang="es-MX"/>
        </a:p>
      </dgm:t>
    </dgm:pt>
    <dgm:pt modelId="{BA4FC4AA-8A89-4E3D-8B2C-23F955A8A935}" type="pres">
      <dgm:prSet presAssocID="{78BD971D-DAA4-4A31-98D2-406101CB954D}" presName="connectorText" presStyleLbl="sibTrans2D1" presStyleIdx="3" presStyleCnt="5"/>
      <dgm:spPr/>
      <dgm:t>
        <a:bodyPr/>
        <a:lstStyle/>
        <a:p>
          <a:endParaRPr lang="es-MX"/>
        </a:p>
      </dgm:t>
    </dgm:pt>
    <dgm:pt modelId="{8568FE8E-38E0-4740-A1DF-23817E2BDAA8}" type="pres">
      <dgm:prSet presAssocID="{303300CB-5975-44A0-AF59-452A9C0A084F}" presName="node" presStyleLbl="node1" presStyleIdx="4" presStyleCnt="6" custScaleY="195306">
        <dgm:presLayoutVars>
          <dgm:bulletEnabled val="1"/>
        </dgm:presLayoutVars>
      </dgm:prSet>
      <dgm:spPr/>
      <dgm:t>
        <a:bodyPr/>
        <a:lstStyle/>
        <a:p>
          <a:endParaRPr lang="es-MX"/>
        </a:p>
      </dgm:t>
    </dgm:pt>
    <dgm:pt modelId="{EE31623A-866A-4C9D-8615-B67D727357E9}" type="pres">
      <dgm:prSet presAssocID="{8D584FC1-E865-4949-8DF7-EF22626D9631}" presName="sibTrans" presStyleLbl="sibTrans2D1" presStyleIdx="4" presStyleCnt="5"/>
      <dgm:spPr/>
      <dgm:t>
        <a:bodyPr/>
        <a:lstStyle/>
        <a:p>
          <a:endParaRPr lang="es-MX"/>
        </a:p>
      </dgm:t>
    </dgm:pt>
    <dgm:pt modelId="{AD3DF6A3-D4C0-4724-976D-2EB6DCCB06AD}" type="pres">
      <dgm:prSet presAssocID="{8D584FC1-E865-4949-8DF7-EF22626D9631}" presName="connectorText" presStyleLbl="sibTrans2D1" presStyleIdx="4" presStyleCnt="5"/>
      <dgm:spPr/>
      <dgm:t>
        <a:bodyPr/>
        <a:lstStyle/>
        <a:p>
          <a:endParaRPr lang="es-MX"/>
        </a:p>
      </dgm:t>
    </dgm:pt>
    <dgm:pt modelId="{0E8EEAFE-5FE6-491A-B253-E1A8D3B85B12}" type="pres">
      <dgm:prSet presAssocID="{36589A7E-64EF-4BC1-94CB-6D12590AC65D}" presName="node" presStyleLbl="node1" presStyleIdx="5" presStyleCnt="6" custScaleX="128781" custScaleY="143633">
        <dgm:presLayoutVars>
          <dgm:bulletEnabled val="1"/>
        </dgm:presLayoutVars>
      </dgm:prSet>
      <dgm:spPr/>
      <dgm:t>
        <a:bodyPr/>
        <a:lstStyle/>
        <a:p>
          <a:endParaRPr lang="es-MX"/>
        </a:p>
      </dgm:t>
    </dgm:pt>
  </dgm:ptLst>
  <dgm:cxnLst>
    <dgm:cxn modelId="{A85E87DA-9283-495C-BF56-D9C7A211E49C}" type="presOf" srcId="{86659D66-A2B7-4D93-82C7-F46F5DBF5137}" destId="{A094E1F5-89F7-40C3-A0A2-7EC74A3F2731}" srcOrd="0" destOrd="0" presId="urn:microsoft.com/office/officeart/2005/8/layout/process5"/>
    <dgm:cxn modelId="{7E8187D0-15FB-4DC7-9DAC-2DFDA8FBEF0A}" type="presOf" srcId="{8D584FC1-E865-4949-8DF7-EF22626D9631}" destId="{AD3DF6A3-D4C0-4724-976D-2EB6DCCB06AD}" srcOrd="1" destOrd="0" presId="urn:microsoft.com/office/officeart/2005/8/layout/process5"/>
    <dgm:cxn modelId="{84C98BBD-3F7C-43EF-996B-728F0464266B}" type="presOf" srcId="{35181952-2B4F-4FB3-9027-A3D5D7415A72}" destId="{78CDD86F-1888-4E03-82E7-EFD0A9EE6429}" srcOrd="0" destOrd="0" presId="urn:microsoft.com/office/officeart/2005/8/layout/process5"/>
    <dgm:cxn modelId="{74D44E10-F44E-4EF2-BE2C-2E7049DAA71B}" type="presOf" srcId="{36589A7E-64EF-4BC1-94CB-6D12590AC65D}" destId="{0E8EEAFE-5FE6-491A-B253-E1A8D3B85B12}" srcOrd="0" destOrd="0" presId="urn:microsoft.com/office/officeart/2005/8/layout/process5"/>
    <dgm:cxn modelId="{2DD0224E-8DA8-45A4-9A92-7EB66A02427B}" type="presOf" srcId="{8CAC0890-8F5F-4D97-B605-FBA64081DD28}" destId="{BA543445-486C-4223-9F1E-35746EE734A0}" srcOrd="0" destOrd="0" presId="urn:microsoft.com/office/officeart/2005/8/layout/process5"/>
    <dgm:cxn modelId="{24AD45C5-E034-4FBA-A5A5-6F31A6DBE468}" type="presOf" srcId="{303300CB-5975-44A0-AF59-452A9C0A084F}" destId="{8568FE8E-38E0-4740-A1DF-23817E2BDAA8}" srcOrd="0" destOrd="0" presId="urn:microsoft.com/office/officeart/2005/8/layout/process5"/>
    <dgm:cxn modelId="{A1B401FE-5351-4F06-AB50-393D54DE1C92}" type="presOf" srcId="{86659D66-A2B7-4D93-82C7-F46F5DBF5137}" destId="{EB351552-21AF-4B87-B994-6120D3DDBEFB}" srcOrd="1" destOrd="0" presId="urn:microsoft.com/office/officeart/2005/8/layout/process5"/>
    <dgm:cxn modelId="{C7751BF6-1875-42AA-B276-09ED89A0BED1}" type="presOf" srcId="{78BD971D-DAA4-4A31-98D2-406101CB954D}" destId="{BA4FC4AA-8A89-4E3D-8B2C-23F955A8A935}" srcOrd="1" destOrd="0" presId="urn:microsoft.com/office/officeart/2005/8/layout/process5"/>
    <dgm:cxn modelId="{E431E20D-E463-4E2D-BF46-9C8B4EF3D17C}" srcId="{8CAC0890-8F5F-4D97-B605-FBA64081DD28}" destId="{35181952-2B4F-4FB3-9027-A3D5D7415A72}" srcOrd="0" destOrd="0" parTransId="{136DDD6C-7D0B-4C82-972F-31333188682D}" sibTransId="{9AE53C2D-EE4C-4CEC-98DD-105CEE86C52C}"/>
    <dgm:cxn modelId="{677875AB-E834-43F7-A458-EDFB488BABEA}" type="presOf" srcId="{8D584FC1-E865-4949-8DF7-EF22626D9631}" destId="{EE31623A-866A-4C9D-8615-B67D727357E9}" srcOrd="0" destOrd="0" presId="urn:microsoft.com/office/officeart/2005/8/layout/process5"/>
    <dgm:cxn modelId="{BE9BF0AA-295C-4693-BFD8-12BF9C4E6D5A}" type="presOf" srcId="{9AE53C2D-EE4C-4CEC-98DD-105CEE86C52C}" destId="{77D43B58-8941-480A-92F1-591FF50653ED}" srcOrd="0" destOrd="0" presId="urn:microsoft.com/office/officeart/2005/8/layout/process5"/>
    <dgm:cxn modelId="{90A5F02B-4412-4A88-BB33-13FE18127EBE}" srcId="{8CAC0890-8F5F-4D97-B605-FBA64081DD28}" destId="{C16757E1-9148-44D2-B93A-489351B65452}" srcOrd="2" destOrd="0" parTransId="{5C62307D-5CFA-40B8-9088-10A58D4CEFEE}" sibTransId="{2AD15193-FD53-4ED1-8812-1ABB06AB6887}"/>
    <dgm:cxn modelId="{B8870B41-1D0C-41CA-A3B8-39F1649F2CB3}" srcId="{8CAC0890-8F5F-4D97-B605-FBA64081DD28}" destId="{36589A7E-64EF-4BC1-94CB-6D12590AC65D}" srcOrd="5" destOrd="0" parTransId="{FA0CE82B-4C0B-4880-A091-2639423EFD46}" sibTransId="{61A20569-1E88-44B3-B405-F12A0D0E271E}"/>
    <dgm:cxn modelId="{7F11B995-0008-4E01-A116-74A1CF149440}" type="presOf" srcId="{9AE53C2D-EE4C-4CEC-98DD-105CEE86C52C}" destId="{64356CFE-FDD6-46FE-A2D0-B17222E74A94}" srcOrd="1" destOrd="0" presId="urn:microsoft.com/office/officeart/2005/8/layout/process5"/>
    <dgm:cxn modelId="{17365123-8E5B-44C1-83DE-D860CAF15916}" type="presOf" srcId="{132A82AB-0DFA-419A-A472-84F75034541E}" destId="{3C8EBEDB-60E9-425C-841B-EF9CD52C7A79}" srcOrd="0" destOrd="0" presId="urn:microsoft.com/office/officeart/2005/8/layout/process5"/>
    <dgm:cxn modelId="{1589A38D-446B-4017-BF48-84C3D13331C5}" type="presOf" srcId="{C16757E1-9148-44D2-B93A-489351B65452}" destId="{5D04E1CE-74EA-4C77-808D-24A597E96CAD}" srcOrd="0" destOrd="0" presId="urn:microsoft.com/office/officeart/2005/8/layout/process5"/>
    <dgm:cxn modelId="{56184FFD-4048-444C-886E-69DA832DE933}" srcId="{8CAC0890-8F5F-4D97-B605-FBA64081DD28}" destId="{303300CB-5975-44A0-AF59-452A9C0A084F}" srcOrd="4" destOrd="0" parTransId="{225D95F2-FBF3-498E-9EEB-5F8181C0806E}" sibTransId="{8D584FC1-E865-4949-8DF7-EF22626D9631}"/>
    <dgm:cxn modelId="{48DDC4CF-5224-4E1E-9CBA-C25FFF4E1DB4}" type="presOf" srcId="{78BD971D-DAA4-4A31-98D2-406101CB954D}" destId="{0C9E9F72-F0BB-435C-8633-9201ADD16B5D}" srcOrd="0" destOrd="0" presId="urn:microsoft.com/office/officeart/2005/8/layout/process5"/>
    <dgm:cxn modelId="{B10EB89A-7676-480D-A498-FDBEA9DCAE68}" type="presOf" srcId="{2AD15193-FD53-4ED1-8812-1ABB06AB6887}" destId="{42F1FFBB-80AB-4F96-8546-445933905DD7}" srcOrd="0" destOrd="0" presId="urn:microsoft.com/office/officeart/2005/8/layout/process5"/>
    <dgm:cxn modelId="{145372D1-F596-4364-A0F6-AF6734F9F51E}" srcId="{8CAC0890-8F5F-4D97-B605-FBA64081DD28}" destId="{F61FA6E8-F788-470C-958A-388C9DB90BF3}" srcOrd="3" destOrd="0" parTransId="{D01C65EE-1483-4AC5-8D05-CBF63C0BBA42}" sibTransId="{78BD971D-DAA4-4A31-98D2-406101CB954D}"/>
    <dgm:cxn modelId="{2F18508E-78A7-453D-A41B-F082B3FF813F}" srcId="{8CAC0890-8F5F-4D97-B605-FBA64081DD28}" destId="{132A82AB-0DFA-419A-A472-84F75034541E}" srcOrd="1" destOrd="0" parTransId="{C43B47D3-2A9C-48E8-965D-B6BB5F7CC17D}" sibTransId="{86659D66-A2B7-4D93-82C7-F46F5DBF5137}"/>
    <dgm:cxn modelId="{44402674-31D6-47C0-805B-4F2F6448FBFE}" type="presOf" srcId="{F61FA6E8-F788-470C-958A-388C9DB90BF3}" destId="{DD322526-26FC-4CC7-B9C9-9B47A19ABBA5}" srcOrd="0" destOrd="0" presId="urn:microsoft.com/office/officeart/2005/8/layout/process5"/>
    <dgm:cxn modelId="{1E9B147D-69E4-4AF9-8462-6C00BADEBFDA}" type="presOf" srcId="{2AD15193-FD53-4ED1-8812-1ABB06AB6887}" destId="{39784AAC-0300-4365-9B79-0CF47678BAEB}" srcOrd="1" destOrd="0" presId="urn:microsoft.com/office/officeart/2005/8/layout/process5"/>
    <dgm:cxn modelId="{174AAB51-CF64-4478-B23C-717827C9DC64}" type="presParOf" srcId="{BA543445-486C-4223-9F1E-35746EE734A0}" destId="{78CDD86F-1888-4E03-82E7-EFD0A9EE6429}" srcOrd="0" destOrd="0" presId="urn:microsoft.com/office/officeart/2005/8/layout/process5"/>
    <dgm:cxn modelId="{D1CF5EFB-7DE0-4CDD-A51B-1765CEBFC42A}" type="presParOf" srcId="{BA543445-486C-4223-9F1E-35746EE734A0}" destId="{77D43B58-8941-480A-92F1-591FF50653ED}" srcOrd="1" destOrd="0" presId="urn:microsoft.com/office/officeart/2005/8/layout/process5"/>
    <dgm:cxn modelId="{7E4069AD-8D2C-4D6B-8858-6464BF0411A3}" type="presParOf" srcId="{77D43B58-8941-480A-92F1-591FF50653ED}" destId="{64356CFE-FDD6-46FE-A2D0-B17222E74A94}" srcOrd="0" destOrd="0" presId="urn:microsoft.com/office/officeart/2005/8/layout/process5"/>
    <dgm:cxn modelId="{4A9ABA4D-B947-4703-B17C-F67DB894C3AC}" type="presParOf" srcId="{BA543445-486C-4223-9F1E-35746EE734A0}" destId="{3C8EBEDB-60E9-425C-841B-EF9CD52C7A79}" srcOrd="2" destOrd="0" presId="urn:microsoft.com/office/officeart/2005/8/layout/process5"/>
    <dgm:cxn modelId="{E7483D8D-662D-4E2A-A224-E76954C0DF9E}" type="presParOf" srcId="{BA543445-486C-4223-9F1E-35746EE734A0}" destId="{A094E1F5-89F7-40C3-A0A2-7EC74A3F2731}" srcOrd="3" destOrd="0" presId="urn:microsoft.com/office/officeart/2005/8/layout/process5"/>
    <dgm:cxn modelId="{61B8EDFE-4212-4FBD-8461-E5F1DD4C30B9}" type="presParOf" srcId="{A094E1F5-89F7-40C3-A0A2-7EC74A3F2731}" destId="{EB351552-21AF-4B87-B994-6120D3DDBEFB}" srcOrd="0" destOrd="0" presId="urn:microsoft.com/office/officeart/2005/8/layout/process5"/>
    <dgm:cxn modelId="{3C3E64BC-EEFB-442B-84BA-7E5071A41632}" type="presParOf" srcId="{BA543445-486C-4223-9F1E-35746EE734A0}" destId="{5D04E1CE-74EA-4C77-808D-24A597E96CAD}" srcOrd="4" destOrd="0" presId="urn:microsoft.com/office/officeart/2005/8/layout/process5"/>
    <dgm:cxn modelId="{8201DD84-8C47-49AC-BF3C-062386168770}" type="presParOf" srcId="{BA543445-486C-4223-9F1E-35746EE734A0}" destId="{42F1FFBB-80AB-4F96-8546-445933905DD7}" srcOrd="5" destOrd="0" presId="urn:microsoft.com/office/officeart/2005/8/layout/process5"/>
    <dgm:cxn modelId="{43FD1341-8F4F-4CDB-9E01-BABF68F9E53A}" type="presParOf" srcId="{42F1FFBB-80AB-4F96-8546-445933905DD7}" destId="{39784AAC-0300-4365-9B79-0CF47678BAEB}" srcOrd="0" destOrd="0" presId="urn:microsoft.com/office/officeart/2005/8/layout/process5"/>
    <dgm:cxn modelId="{8CEC8A5F-B1F4-451F-A683-5F0AB5321FED}" type="presParOf" srcId="{BA543445-486C-4223-9F1E-35746EE734A0}" destId="{DD322526-26FC-4CC7-B9C9-9B47A19ABBA5}" srcOrd="6" destOrd="0" presId="urn:microsoft.com/office/officeart/2005/8/layout/process5"/>
    <dgm:cxn modelId="{4E83307C-C7B7-460B-8C93-400BFA4118E6}" type="presParOf" srcId="{BA543445-486C-4223-9F1E-35746EE734A0}" destId="{0C9E9F72-F0BB-435C-8633-9201ADD16B5D}" srcOrd="7" destOrd="0" presId="urn:microsoft.com/office/officeart/2005/8/layout/process5"/>
    <dgm:cxn modelId="{0E78DA3D-9D06-4806-9239-92FD7B18964D}" type="presParOf" srcId="{0C9E9F72-F0BB-435C-8633-9201ADD16B5D}" destId="{BA4FC4AA-8A89-4E3D-8B2C-23F955A8A935}" srcOrd="0" destOrd="0" presId="urn:microsoft.com/office/officeart/2005/8/layout/process5"/>
    <dgm:cxn modelId="{855636A3-41A9-44EA-85F2-66EE7C8A0229}" type="presParOf" srcId="{BA543445-486C-4223-9F1E-35746EE734A0}" destId="{8568FE8E-38E0-4740-A1DF-23817E2BDAA8}" srcOrd="8" destOrd="0" presId="urn:microsoft.com/office/officeart/2005/8/layout/process5"/>
    <dgm:cxn modelId="{D7BE2DF2-9F58-48A8-A260-D6739346AF8B}" type="presParOf" srcId="{BA543445-486C-4223-9F1E-35746EE734A0}" destId="{EE31623A-866A-4C9D-8615-B67D727357E9}" srcOrd="9" destOrd="0" presId="urn:microsoft.com/office/officeart/2005/8/layout/process5"/>
    <dgm:cxn modelId="{58B5D06F-12F6-47F3-AAEC-EDBDA9CD822B}" type="presParOf" srcId="{EE31623A-866A-4C9D-8615-B67D727357E9}" destId="{AD3DF6A3-D4C0-4724-976D-2EB6DCCB06AD}" srcOrd="0" destOrd="0" presId="urn:microsoft.com/office/officeart/2005/8/layout/process5"/>
    <dgm:cxn modelId="{FD35E626-F3A1-46B4-B04F-4F801E9FBD31}" type="presParOf" srcId="{BA543445-486C-4223-9F1E-35746EE734A0}" destId="{0E8EEAFE-5FE6-491A-B253-E1A8D3B85B12}" srcOrd="10" destOrd="0" presId="urn:microsoft.com/office/officeart/2005/8/layout/process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CDD86F-1888-4E03-82E7-EFD0A9EE6429}">
      <dsp:nvSpPr>
        <dsp:cNvPr id="0" name=""/>
        <dsp:cNvSpPr/>
      </dsp:nvSpPr>
      <dsp:spPr>
        <a:xfrm>
          <a:off x="317735" y="416"/>
          <a:ext cx="748208" cy="913239"/>
        </a:xfrm>
        <a:prstGeom prst="roundRect">
          <a:avLst>
            <a:gd name="adj" fmla="val 10000"/>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es-MX" sz="1600" kern="1200"/>
        </a:p>
      </dsp:txBody>
      <dsp:txXfrm>
        <a:off x="339649" y="22330"/>
        <a:ext cx="704380" cy="869411"/>
      </dsp:txXfrm>
    </dsp:sp>
    <dsp:sp modelId="{77D43B58-8941-480A-92F1-591FF50653ED}">
      <dsp:nvSpPr>
        <dsp:cNvPr id="0" name=""/>
        <dsp:cNvSpPr/>
      </dsp:nvSpPr>
      <dsp:spPr>
        <a:xfrm>
          <a:off x="1131785" y="364257"/>
          <a:ext cx="158620" cy="1855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MX" sz="700" kern="1200"/>
        </a:p>
      </dsp:txBody>
      <dsp:txXfrm>
        <a:off x="1131785" y="401368"/>
        <a:ext cx="111034" cy="111333"/>
      </dsp:txXfrm>
    </dsp:sp>
    <dsp:sp modelId="{3C8EBEDB-60E9-425C-841B-EF9CD52C7A79}">
      <dsp:nvSpPr>
        <dsp:cNvPr id="0" name=""/>
        <dsp:cNvSpPr/>
      </dsp:nvSpPr>
      <dsp:spPr>
        <a:xfrm>
          <a:off x="1365226" y="74650"/>
          <a:ext cx="748208" cy="764770"/>
        </a:xfrm>
        <a:prstGeom prst="roundRect">
          <a:avLst>
            <a:gd name="adj" fmla="val 10000"/>
          </a:avLst>
        </a:prstGeom>
        <a:blipFill rotWithShape="0">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es-MX" sz="1600" kern="1200"/>
        </a:p>
      </dsp:txBody>
      <dsp:txXfrm>
        <a:off x="1387140" y="96564"/>
        <a:ext cx="704380" cy="720942"/>
      </dsp:txXfrm>
    </dsp:sp>
    <dsp:sp modelId="{A094E1F5-89F7-40C3-A0A2-7EC74A3F2731}">
      <dsp:nvSpPr>
        <dsp:cNvPr id="0" name=""/>
        <dsp:cNvSpPr/>
      </dsp:nvSpPr>
      <dsp:spPr>
        <a:xfrm rot="5400000">
          <a:off x="1630949" y="945001"/>
          <a:ext cx="216763" cy="1855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p>
      </dsp:txBody>
      <dsp:txXfrm rot="-5400000">
        <a:off x="1683664" y="929397"/>
        <a:ext cx="111333" cy="161097"/>
      </dsp:txXfrm>
    </dsp:sp>
    <dsp:sp modelId="{5D04E1CE-74EA-4C77-808D-24A597E96CAD}">
      <dsp:nvSpPr>
        <dsp:cNvPr id="0" name=""/>
        <dsp:cNvSpPr/>
      </dsp:nvSpPr>
      <dsp:spPr>
        <a:xfrm>
          <a:off x="1365226" y="1248407"/>
          <a:ext cx="748208" cy="791804"/>
        </a:xfrm>
        <a:prstGeom prst="roundRect">
          <a:avLst>
            <a:gd name="adj" fmla="val 10000"/>
          </a:avLst>
        </a:prstGeom>
        <a:blipFill rotWithShape="0">
          <a:blip xmlns:r="http://schemas.openxmlformats.org/officeDocument/2006/relationships" r:embed="rId3"/>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es-MX" sz="1600" kern="1200"/>
        </a:p>
      </dsp:txBody>
      <dsp:txXfrm>
        <a:off x="1387140" y="1270321"/>
        <a:ext cx="704380" cy="747976"/>
      </dsp:txXfrm>
    </dsp:sp>
    <dsp:sp modelId="{42F1FFBB-80AB-4F96-8546-445933905DD7}">
      <dsp:nvSpPr>
        <dsp:cNvPr id="0" name=""/>
        <dsp:cNvSpPr/>
      </dsp:nvSpPr>
      <dsp:spPr>
        <a:xfrm rot="10800000">
          <a:off x="1140764" y="1551532"/>
          <a:ext cx="158620" cy="1855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MX" sz="700" kern="1200"/>
        </a:p>
      </dsp:txBody>
      <dsp:txXfrm rot="10800000">
        <a:off x="1188350" y="1588643"/>
        <a:ext cx="111034" cy="111333"/>
      </dsp:txXfrm>
    </dsp:sp>
    <dsp:sp modelId="{DD322526-26FC-4CC7-B9C9-9B47A19ABBA5}">
      <dsp:nvSpPr>
        <dsp:cNvPr id="0" name=""/>
        <dsp:cNvSpPr/>
      </dsp:nvSpPr>
      <dsp:spPr>
        <a:xfrm>
          <a:off x="317735" y="1212938"/>
          <a:ext cx="748208" cy="862743"/>
        </a:xfrm>
        <a:prstGeom prst="roundRect">
          <a:avLst>
            <a:gd name="adj" fmla="val 10000"/>
          </a:avLst>
        </a:prstGeom>
        <a:blipFill rotWithShape="0">
          <a:blip xmlns:r="http://schemas.openxmlformats.org/officeDocument/2006/relationships" r:embed="rId4"/>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es-MX" sz="1600" kern="1200"/>
        </a:p>
      </dsp:txBody>
      <dsp:txXfrm>
        <a:off x="339649" y="1234852"/>
        <a:ext cx="704380" cy="818915"/>
      </dsp:txXfrm>
    </dsp:sp>
    <dsp:sp modelId="{0C9E9F72-F0BB-435C-8633-9201ADD16B5D}">
      <dsp:nvSpPr>
        <dsp:cNvPr id="0" name=""/>
        <dsp:cNvSpPr/>
      </dsp:nvSpPr>
      <dsp:spPr>
        <a:xfrm rot="5400000">
          <a:off x="612529" y="2128056"/>
          <a:ext cx="158620" cy="1855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MX" sz="700" kern="1200"/>
        </a:p>
      </dsp:txBody>
      <dsp:txXfrm rot="-5400000">
        <a:off x="636173" y="2141523"/>
        <a:ext cx="111333" cy="111034"/>
      </dsp:txXfrm>
    </dsp:sp>
    <dsp:sp modelId="{8568FE8E-38E0-4740-A1DF-23817E2BDAA8}">
      <dsp:nvSpPr>
        <dsp:cNvPr id="0" name=""/>
        <dsp:cNvSpPr/>
      </dsp:nvSpPr>
      <dsp:spPr>
        <a:xfrm>
          <a:off x="317735" y="2374965"/>
          <a:ext cx="748208" cy="876777"/>
        </a:xfrm>
        <a:prstGeom prst="roundRect">
          <a:avLst>
            <a:gd name="adj" fmla="val 10000"/>
          </a:avLst>
        </a:prstGeom>
        <a:blipFill rotWithShape="0">
          <a:blip xmlns:r="http://schemas.openxmlformats.org/officeDocument/2006/relationships" r:embed="rId5"/>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es-MX" sz="1600" kern="1200"/>
        </a:p>
      </dsp:txBody>
      <dsp:txXfrm>
        <a:off x="339649" y="2396879"/>
        <a:ext cx="704380" cy="832949"/>
      </dsp:txXfrm>
    </dsp:sp>
    <dsp:sp modelId="{EE31623A-866A-4C9D-8615-B67D727357E9}">
      <dsp:nvSpPr>
        <dsp:cNvPr id="0" name=""/>
        <dsp:cNvSpPr/>
      </dsp:nvSpPr>
      <dsp:spPr>
        <a:xfrm>
          <a:off x="1131785" y="2720576"/>
          <a:ext cx="158620" cy="1855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MX" sz="700" kern="1200"/>
        </a:p>
      </dsp:txBody>
      <dsp:txXfrm>
        <a:off x="1131785" y="2757687"/>
        <a:ext cx="111034" cy="111333"/>
      </dsp:txXfrm>
    </dsp:sp>
    <dsp:sp modelId="{0E8EEAFE-5FE6-491A-B253-E1A8D3B85B12}">
      <dsp:nvSpPr>
        <dsp:cNvPr id="0" name=""/>
        <dsp:cNvSpPr/>
      </dsp:nvSpPr>
      <dsp:spPr>
        <a:xfrm>
          <a:off x="1365226" y="2490952"/>
          <a:ext cx="963550" cy="644804"/>
        </a:xfrm>
        <a:prstGeom prst="roundRect">
          <a:avLst>
            <a:gd name="adj" fmla="val 10000"/>
          </a:avLst>
        </a:prstGeom>
        <a:blipFill rotWithShape="0">
          <a:blip xmlns:r="http://schemas.openxmlformats.org/officeDocument/2006/relationships" r:embed="rId6"/>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endParaRPr lang="es-MX" sz="2800" kern="1200"/>
        </a:p>
      </dsp:txBody>
      <dsp:txXfrm>
        <a:off x="1384112" y="2509838"/>
        <a:ext cx="925778" cy="60703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b:Source>
    <b:Tag>Her15</b:Tag>
    <b:SourceType>JournalArticle</b:SourceType>
    <b:Guid>{EFC9EE85-16F3-4B4F-B677-0B134CC3C862}</b:Guid>
    <b:Author>
      <b:Author>
        <b:NameList>
          <b:Person>
            <b:Last>Herrera</b:Last>
            <b:First>Y</b:First>
          </b:Person>
        </b:NameList>
      </b:Author>
    </b:Author>
    <b:Title>Historia de la evolucion de las pruebas de tamizaje de cancer cervicouterino.</b:Title>
    <b:Year>2015</b:Year>
    <b:JournalName>Rev Med Inst Mex Seguro Soc</b:JournalName>
    <b:Volume>53</b:Volume>
    <b:Issue>6</b:Issue>
    <b:RefOrder>3</b:RefOrder>
  </b:Source>
  <b:Source>
    <b:Tag>Gut11</b:Tag>
    <b:SourceType>JournalArticle</b:SourceType>
    <b:Guid>{91ED2AAF-4171-46AB-B644-4C34C1889FE0}</b:Guid>
    <b:Author>
      <b:Author>
        <b:NameList>
          <b:Person>
            <b:Last>Gutierrez</b:Last>
            <b:First>R</b:First>
          </b:Person>
        </b:NameList>
      </b:Author>
    </b:Author>
    <b:Title>Utilidad de las tecnicas moleculares de deteccion de VPH en el control y prevecion del cancer cervicouterino.</b:Title>
    <b:JournalName>AMATGI</b:JournalName>
    <b:Year>2011</b:Year>
    <b:Volume>III</b:Volume>
    <b:Issue>5</b:Issue>
    <b:RefOrder>4</b:RefOrder>
  </b:Source>
  <b:Source>
    <b:Tag>Ram14</b:Tag>
    <b:SourceType>JournalArticle</b:SourceType>
    <b:Guid>{371CCCE9-AFE1-4119-8BFD-7BF9C550469E}</b:Guid>
    <b:Author>
      <b:Author>
        <b:NameList>
          <b:Person>
            <b:Last>Ramos</b:Last>
            <b:First>G</b:First>
          </b:Person>
        </b:NameList>
      </b:Author>
    </b:Author>
    <b:Title>Citologia cervical satisfactoria, extendido exocervical circular comparado con longitudinal</b:Title>
    <b:JournalName>Rev Mex Inst Mex Seguro Soc</b:JournalName>
    <b:Year>2014</b:Year>
    <b:Volume>52</b:Volume>
    <b:Issue>6</b:Issue>
    <b:RefOrder>5</b:RefOrder>
  </b:Source>
  <b:Source>
    <b:Tag>Car13</b:Tag>
    <b:SourceType>JournalArticle</b:SourceType>
    <b:Guid>{3221E838-C3F3-4B64-9B57-E0F49BB0569F}</b:Guid>
    <b:Author>
      <b:Author>
        <b:NameList>
          <b:Person>
            <b:Last>Carrascal</b:Last>
            <b:First>M</b:First>
          </b:Person>
        </b:NameList>
      </b:Author>
    </b:Author>
    <b:Title>Correlacion diagnostica de la citologia cervical versus colposcopia en lesiones premalignas de cancer cervicouterino.</b:Title>
    <b:JournalName>IPS Universitaria Barranquilla</b:JournalName>
    <b:Year>2013</b:Year>
    <b:Volume>9</b:Volume>
    <b:Issue>1</b:Issue>
    <b:RefOrder>6</b:RefOrder>
  </b:Source>
  <b:Source>
    <b:Tag>San13</b:Tag>
    <b:SourceType>JournalArticle</b:SourceType>
    <b:Guid>{3E713EDA-6460-4E24-A41F-02E0CDBA5F43}</b:Guid>
    <b:Author>
      <b:Author>
        <b:NameList>
          <b:Person>
            <b:Last>Sanchez</b:Last>
            <b:First>M</b:First>
          </b:Person>
        </b:NameList>
      </b:Author>
    </b:Author>
    <b:Title>Certeza diagnostica de la colposcopia, citologia e histologia de las lesiones intraepiteliales del cervix</b:Title>
    <b:JournalName>Rev Invest Med Sur Mex</b:JournalName>
    <b:Year>2013</b:Year>
    <b:Volume>20</b:Volume>
    <b:Issue>2</b:Issue>
    <b:RefOrder>7</b:RefOrder>
  </b:Source>
  <b:Source>
    <b:Tag>Con15</b:Tag>
    <b:SourceType>JournalArticle</b:SourceType>
    <b:Guid>{41F3CBDF-4D6E-4F6C-8F9F-4250066A5D88}</b:Guid>
    <b:Author>
      <b:Author>
        <b:NameList>
          <b:Person>
            <b:Last>Contreras</b:Last>
            <b:First>R</b:First>
          </b:Person>
        </b:NameList>
      </b:Author>
    </b:Author>
    <b:Title>Papanicolaou y citologia liquida en diagnostico de cancer de cervix. Hospital civil de Maracay</b:Title>
    <b:JournalName>Comunidad y Salud</b:JournalName>
    <b:Year>2015</b:Year>
    <b:Volume>13</b:Volume>
    <b:Issue>1</b:Issue>
    <b:RefOrder>9</b:RefOrder>
  </b:Source>
  <b:Source>
    <b:Tag>Pue15</b:Tag>
    <b:SourceType>JournalArticle</b:SourceType>
    <b:Guid>{247D9398-6F1F-4C59-AD5B-5ED6214807BD}</b:Guid>
    <b:Author>
      <b:Author>
        <b:NameList>
          <b:Person>
            <b:Last>Puerto de Amaya</b:Last>
            <b:First>M</b:First>
          </b:Person>
        </b:NameList>
      </b:Author>
    </b:Author>
    <b:Title>Citologia convencional y en base liquida en muestra compartida de tomas cervicouterinas</b:Title>
    <b:JournalName>Repert Med Cir</b:JournalName>
    <b:Year>2015</b:Year>
    <b:Volume>24</b:Volume>
    <b:Issue>1</b:Issue>
    <b:RefOrder>10</b:RefOrder>
  </b:Source>
  <b:Source>
    <b:Tag>Mit13</b:Tag>
    <b:SourceType>JournalArticle</b:SourceType>
    <b:Guid>{BFE435A2-7197-4346-9C03-98DAA930C9AF}</b:Guid>
    <b:Author>
      <b:Author>
        <b:NameList>
          <b:Person>
            <b:Last>Mittal</b:Last>
            <b:First>S</b:First>
          </b:Person>
        </b:NameList>
      </b:Author>
    </b:Author>
    <b:Title>Visual inspection with acetic as a screening test for cervical cancer</b:Title>
    <b:JournalName>Biomed Res</b:JournalName>
    <b:Year>2013</b:Year>
    <b:Volume>1</b:Volume>
    <b:Issue>1</b:Issue>
    <b:RefOrder>11</b:RefOrder>
  </b:Source>
  <b:Source>
    <b:Tag>San05</b:Tag>
    <b:SourceType>BookSection</b:SourceType>
    <b:Guid>{C62E80A1-135C-403C-A793-30E63ABD7326}</b:Guid>
    <b:Author>
      <b:Author>
        <b:NameList>
          <b:Person>
            <b:Last>R</b:Last>
            <b:First>Sankaranarayanan</b:First>
          </b:Person>
        </b:NameList>
      </b:Author>
      <b:BookAuthor>
        <b:NameList>
          <b:Person>
            <b:Last>R</b:Last>
            <b:First>Sankaranarayanan</b:First>
          </b:Person>
        </b:NameList>
      </b:BookAuthor>
    </b:Author>
    <b:Title>Análisis y registro de los resultados de la inspección visual con ácido acético al 5% (IVA)</b:Title>
    <b:JournalName>OMS</b:JournalName>
    <b:Year>2005</b:Year>
    <b:BookTitle>Manual practico para la deteccion visual de las neoplasias cervical</b:BookTitle>
    <b:Pages>50</b:Pages>
    <b:City>Lyon, Francia</b:City>
    <b:RefOrder>12</b:RefOrder>
  </b:Source>
  <b:Source>
    <b:Tag>San03</b:Tag>
    <b:SourceType>JournalArticle</b:SourceType>
    <b:Guid>{0D8042C8-DD54-4175-AFB3-82F5D1A13D69}</b:Guid>
    <b:Author>
      <b:Author>
        <b:NameList>
          <b:Person>
            <b:Last>Sankaranarayanan</b:Last>
            <b:First>R</b:First>
          </b:Person>
        </b:NameList>
      </b:Author>
    </b:Author>
    <b:Title>Early detection of cervical cancer with visual inspection methods: a summary of completed and on-going studies in India</b:Title>
    <b:Year>2003</b:Year>
    <b:JournalName>Salud Publica Mex</b:JournalName>
    <b:Volume>45</b:Volume>
    <b:Issue>3</b:Issue>
    <b:RefOrder>13</b:RefOrder>
  </b:Source>
  <b:Source>
    <b:Tag>Gon13</b:Tag>
    <b:SourceType>JournalArticle</b:SourceType>
    <b:Guid>{6DA1EA71-E6BE-4A29-ADA9-520ACB3D095D}</b:Guid>
    <b:Author>
      <b:Author>
        <b:NameList>
          <b:Person>
            <b:Last>Gonzalez</b:Last>
            <b:First>G</b:First>
          </b:Person>
        </b:NameList>
      </b:Author>
    </b:Author>
    <b:Title>Grado de efectividad y correlacion citologia-colposcopia utilizadas como pruebas diagnosticas en una entidad de salud de Santa Marta</b:Title>
    <b:JournalName>DUAZARY</b:JournalName>
    <b:Year>2013</b:Year>
    <b:Volume>10</b:Volume>
    <b:Issue>2</b:Issue>
    <b:RefOrder>14</b:RefOrder>
  </b:Source>
  <b:Source>
    <b:Tag>Ulr18</b:Tag>
    <b:SourceType>JournalArticle</b:SourceType>
    <b:Guid>{138A2A58-F5E5-4D07-AB5D-B9F398CF69C7}</b:Guid>
    <b:Author>
      <b:Author>
        <b:NameList>
          <b:Person>
            <b:Last>Ulrich</b:Last>
            <b:First>K</b:First>
          </b:Person>
        </b:NameList>
      </b:Author>
    </b:Author>
    <b:Title>2017 update of the European Federation for Colposcopy (EFC) performance standards fot the practice of colposcopy</b:Title>
    <b:JournalName>European Journal of Obstetrics &amp; Gynecology and Reprouctive Biology</b:JournalName>
    <b:Year>2018</b:Year>
    <b:Volume>224</b:Volume>
    <b:RefOrder>15</b:RefOrder>
  </b:Source>
  <b:Source>
    <b:Tag>Nam18</b:Tag>
    <b:SourceType>JournalArticle</b:SourceType>
    <b:Guid>{072CBF02-FEBD-4711-ADD2-8108C5C5C896}</b:Guid>
    <b:Author>
      <b:Author>
        <b:NameList>
          <b:Person>
            <b:Last>Nam</b:Last>
            <b:First>K</b:First>
          </b:Person>
        </b:NameList>
      </b:Author>
    </b:Author>
    <b:Title>Colposcopy at a turning point</b:Title>
    <b:JournalName>Obstet Gynecol Sci</b:JournalName>
    <b:Year>2018</b:Year>
    <b:Volume>61</b:Volume>
    <b:Issue>1</b:Issue>
    <b:RefOrder>16</b:RefOrder>
  </b:Source>
  <b:Source>
    <b:Tag>Zha18</b:Tag>
    <b:SourceType>JournalArticle</b:SourceType>
    <b:Guid>{BDB240B2-9137-49F1-956A-4745507D9B5B}</b:Guid>
    <b:Author>
      <b:Author>
        <b:NameList>
          <b:Person>
            <b:Last>Zhao</b:Last>
            <b:First>X</b:First>
          </b:Person>
        </b:NameList>
      </b:Author>
    </b:Author>
    <b:Title>The performance of human papillomavirus DNA detection with type 16/18 genotyping by hybrid capture in primary test of cervical cancer screening: a cross-sectional study in 10,669 Chinese women</b:Title>
    <b:JournalName>Clinical Microbiology and Infection xxx</b:JournalName>
    <b:Year>2018</b:Year>
    <b:RefOrder>17</b:RefOrder>
  </b:Source>
  <b:Source>
    <b:Tag>Lac18</b:Tag>
    <b:SourceType>JournalArticle</b:SourceType>
    <b:Guid>{EBE1325F-CC8E-4361-BFBE-764EFC1CE559}</b:Guid>
    <b:Author>
      <b:Author>
        <b:NameList>
          <b:Person>
            <b:Last>Lactobellis</b:Last>
            <b:First>M</b:First>
          </b:Person>
        </b:NameList>
      </b:Author>
    </b:Author>
    <b:Title>Clinical validation of Realquality RQ-HPV screen according to the international guidelines for human papillomavirus DNA test requirements for cervical screening</b:Title>
    <b:JournalName> Virology Journal</b:JournalName>
    <b:Year>2018</b:Year>
    <b:Volume>15</b:Volume>
    <b:Issue>48</b:Issue>
    <b:RefOrder>18</b:RefOrder>
  </b:Source>
  <b:Source>
    <b:Tag>Gut09</b:Tag>
    <b:SourceType>JournalArticle</b:SourceType>
    <b:Guid>{8341CD1E-1849-4CAF-81AC-37E555C0EBD9}</b:Guid>
    <b:Author>
      <b:Author>
        <b:NameList>
          <b:Person>
            <b:Last>Gutierrez</b:Last>
            <b:First>L</b:First>
          </b:Person>
        </b:NameList>
      </b:Author>
    </b:Author>
    <b:Title>Molecular diagnosis of human papillomavirus in the development of cervical cancer</b:Title>
    <b:JournalName>Salud publica de Mexico</b:JournalName>
    <b:Year>2009</b:Year>
    <b:Volume>51</b:Volume>
    <b:RefOrder>19</b:RefOrder>
  </b:Source>
  <b:Source>
    <b:Tag>Mol</b:Tag>
    <b:SourceType>JournalArticle</b:SourceType>
    <b:Guid>{740D7FDB-3AB9-405E-B38D-53C4B52D1AEE}</b:Guid>
    <b:Author>
      <b:Author>
        <b:NameList>
          <b:Person>
            <b:Last>Moller</b:Last>
            <b:First>D</b:First>
          </b:Person>
        </b:NameList>
      </b:Author>
    </b:Author>
    <b:Title>Clinical and analytical performance of the BD Onclarity HPV assay for detection of CIN2 lesiones on SurePath samples</b:Title>
    <b:JournalName>Papillomavirus Research</b:JournalName>
    <b:Volume>2</b:Volume>
    <b:RefOrder>20</b:RefOrder>
  </b:Source>
  <b:Source>
    <b:Tag>Ast14</b:Tag>
    <b:SourceType>JournalArticle</b:SourceType>
    <b:Guid>{4284160B-F679-4AE7-9BA7-0A519BB5596E}</b:Guid>
    <b:Author>
      <b:Author>
        <b:NameList>
          <b:Person>
            <b:Last>Astudillo</b:Last>
            <b:First>O</b:First>
          </b:Person>
        </b:NameList>
      </b:Author>
    </b:Author>
    <b:Title>Diagnostico molecular del virus del papiloma humano</b:Title>
    <b:JournalName>Panoram Medico</b:JournalName>
    <b:Year>2014</b:Year>
    <b:Volume>8</b:Volume>
    <b:Issue>1</b:Issue>
    <b:RefOrder>21</b:RefOrder>
  </b:Source>
  <b:Source>
    <b:Tag>San131</b:Tag>
    <b:SourceType>JournalArticle</b:SourceType>
    <b:Guid>{1B35E791-1DE3-4CE7-92A5-1B70FD55D782}</b:Guid>
    <b:Author>
      <b:Author>
        <b:NameList>
          <b:Person>
            <b:Last>Sanoja</b:Last>
            <b:First>L</b:First>
          </b:Person>
        </b:NameList>
      </b:Author>
    </b:Author>
    <b:Title>Deteccion y tipificacion del virus del papiloma humano mediante reaccion en cadena de polimerasa, en muestras cervicales de estudiantes.</b:Title>
    <b:JournalName>Comunidad y Salud</b:JournalName>
    <b:Year>2013</b:Year>
    <b:Volume>11</b:Volume>
    <b:Issue>2</b:Issue>
    <b:RefOrder>22</b:RefOrder>
  </b:Source>
  <b:Source>
    <b:Tag>Sha17</b:Tag>
    <b:SourceType>JournalArticle</b:SourceType>
    <b:Guid>{948DD4D9-638E-4226-8B8B-A8139DCEC9E9}</b:Guid>
    <b:Author>
      <b:Author>
        <b:NameList>
          <b:Person>
            <b:Last>Sharafadeen</b:Last>
            <b:First>K</b:First>
          </b:Person>
        </b:NameList>
      </b:Author>
    </b:Author>
    <b:Title>Prevalence and risk factors for genital hish-risk human papillomavirus infection among women attendin the outpatient clinics of a university teaching hospital in Lagos, Nigeria</b:Title>
    <b:JournalName>Pan African Medical Journal</b:JournalName>
    <b:Year>2017</b:Year>
    <b:Volume>28</b:Volume>
    <b:RefOrder>23</b:RefOrder>
  </b:Source>
  <b:Source>
    <b:Tag>Bey18</b:Tag>
    <b:SourceType>JournalArticle</b:SourceType>
    <b:Guid>{7439A0C3-BA9F-469F-92EE-19EB0FE027AE}</b:Guid>
    <b:Author>
      <b:Author>
        <b:NameList>
          <b:Person>
            <b:Last>Beyazit</b:Last>
            <b:First>F</b:First>
          </b:Person>
        </b:NameList>
      </b:Author>
    </b:Author>
    <b:Title>The prevalence of human papillomavirus (HPV) genotypes detected by PCR in women tih normal and abnormal cervico-vaginal cytology</b:Title>
    <b:JournalName>Comunidad y Salud</b:JournalName>
    <b:Year>2018</b:Year>
    <b:Volume>11</b:Volume>
    <b:Issue>2</b:Issue>
    <b:RefOrder>24</b:RefOrder>
  </b:Source>
  <b:Source>
    <b:Tag>Ale18</b:Tag>
    <b:SourceType>JournalArticle</b:SourceType>
    <b:Guid>{2308E14F-E9F1-4B33-B4ED-59B210F57C3D}</b:Guid>
    <b:Author>
      <b:Author>
        <b:NameList>
          <b:Person>
            <b:Last>Aleksioska</b:Last>
            <b:First>I</b:First>
          </b:Person>
        </b:NameList>
      </b:Author>
    </b:Author>
    <b:Title>Prevalence of specific types of human papiloma virus in cervical intraepithelial lesions and cervical cancer in Macedonianan women</b:Title>
    <b:JournalName>Med Arch</b:JournalName>
    <b:Year>2018</b:Year>
    <b:Volume>71</b:Volume>
    <b:Issue>1</b:Issue>
    <b:RefOrder>25</b:RefOrder>
  </b:Source>
  <b:Source>
    <b:Tag>Sec07</b:Tag>
    <b:SourceType>Report</b:SourceType>
    <b:Guid>{B98C259D-8C5E-48DB-B728-A1F2F9D38A6E}</b:Guid>
    <b:Author>
      <b:Author>
        <b:Corporate>Secretaria de Salud</b:Corporate>
      </b:Author>
    </b:Author>
    <b:Title>Modificacion a la Norma Oficial Mexicana NOM-014-SSA2-1994, para la prevencion, deteccion, diagnostico, tratamiento, control y vigilancia epidemiologica del cancer cervicouterino</b:Title>
    <b:JournalName>Diario Oficial</b:JournalName>
    <b:Year>2007</b:Year>
    <b:Volume>1</b:Volume>
    <b:Institution>Secretaria de Salud</b:Institution>
    <b:City>Mexico </b:City>
    <b:ThesisType>Norma Oficial Mexicana</b:ThesisType>
    <b:RefOrder>8</b:RefOrder>
  </b:Source>
  <b:Source>
    <b:Tag>Sec13</b:Tag>
    <b:SourceType>Report</b:SourceType>
    <b:Guid>{87E71352-5114-499F-A792-1382F06F193F}</b:Guid>
    <b:Author>
      <b:Author>
        <b:Corporate>Secretaria de Salud</b:Corporate>
      </b:Author>
    </b:Author>
    <b:Title>Programa de Accion Especifico Prevencion y Control del Cancer de la Mujer 2013-2018.</b:Title>
    <b:Year>2013</b:Year>
    <b:Month>Agosto</b:Month>
    <b:Institution>Secretaria de Salud</b:Institution>
    <b:City>Mexico</b:City>
    <b:ThesisType>Programa</b:ThesisType>
    <b:RefOrder>1</b:RefOrder>
  </b:Source>
  <b:Source>
    <b:Tag>SUI17</b:Tag>
    <b:SourceType>JournalArticle</b:SourceType>
    <b:Guid>{003A260F-B00B-442B-B8C5-4D29225CDAA6}</b:Guid>
    <b:Author>
      <b:Author>
        <b:NameList>
          <b:Person>
            <b:Last>Olvera</b:Last>
            <b:First>M</b:First>
          </b:Person>
        </b:NameList>
      </b:Author>
    </b:Author>
    <b:Title>Prevalencia de cáncer cérvico uterino, lesiones premalignas y</b:Title>
    <b:Year>2015</b:Year>
    <b:Institution>Secretaria de Salud</b:Institution>
    <b:JournalName>Gaceta Hidalguense de Investigación en Salud</b:JournalName>
    <b:Volume>8</b:Volume>
    <b:Issue>2</b:Issue>
    <b:RefOrder>2</b:RefOrder>
  </b:Source>
</b:Sources>
</file>

<file path=customXml/itemProps1.xml><?xml version="1.0" encoding="utf-8"?>
<ds:datastoreItem xmlns:ds="http://schemas.openxmlformats.org/officeDocument/2006/customXml" ds:itemID="{872A4147-0C40-4A86-859D-B41DEA530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4040</Words>
  <Characters>22223</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 Eduardo Samperio</cp:lastModifiedBy>
  <cp:revision>3</cp:revision>
  <dcterms:created xsi:type="dcterms:W3CDTF">2018-05-17T02:37:00Z</dcterms:created>
  <dcterms:modified xsi:type="dcterms:W3CDTF">2019-01-12T12:43:00Z</dcterms:modified>
</cp:coreProperties>
</file>