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B0" w:rsidRPr="00744CBA" w:rsidRDefault="00CD29B8" w:rsidP="00D813B0">
      <w:pPr>
        <w:spacing w:before="60" w:line="360" w:lineRule="auto"/>
        <w:outlineLvl w:val="0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 w:rsidRPr="00744CBA">
        <w:rPr>
          <w:rFonts w:ascii="Arial" w:hAnsi="Arial" w:cs="Arial"/>
          <w:b/>
          <w:color w:val="000000"/>
          <w:sz w:val="24"/>
          <w:szCs w:val="24"/>
          <w:lang w:val="es-ES_tradnl"/>
        </w:rPr>
        <w:t>Referencias</w:t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Nicholls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, C. Control biológico de insectos: un enfoque agroecológico.</w:t>
      </w:r>
      <w:r w:rsidRPr="00744CBA">
        <w:rPr>
          <w:rFonts w:ascii="Arial" w:hAnsi="Arial" w:cs="Arial"/>
          <w:sz w:val="24"/>
          <w:szCs w:val="24"/>
        </w:rPr>
        <w:t xml:space="preserve"> Primera edición.</w:t>
      </w: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r w:rsidRPr="00744CBA">
        <w:rPr>
          <w:rFonts w:ascii="Arial" w:hAnsi="Arial" w:cs="Arial"/>
          <w:sz w:val="24"/>
          <w:szCs w:val="24"/>
        </w:rPr>
        <w:t>Universidad de Antioquia, 2008; 282 p.</w:t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Matamoros, M.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Malacofauna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en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agroecosistemas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representativos de las provincias occidentales de Cuba.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Fitosanidad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. 2014;18(1): 23- 27 </w:t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De La Ossa-Lacayo A. De La Ossa V.J, Lasso C.A. Registro del caracol africano gigante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Achatina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fulica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(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Bowdich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1822) (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Mollusca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: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Gastropoda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-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Achatinidae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) en Sincelejo, costa Caribe de Colombia. Biota Colombiana. 2012; vol. 13, núm. 2: pp. 247-252</w:t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Juřičková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L. and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Kapounek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F. (2009). </w:t>
      </w:r>
      <w:proofErr w:type="spellStart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>Helix</w:t>
      </w:r>
      <w:proofErr w:type="spellEnd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 xml:space="preserve"> </w:t>
      </w: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(</w:t>
      </w:r>
      <w:proofErr w:type="spellStart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>Cornu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) </w:t>
      </w:r>
      <w:proofErr w:type="spellStart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>aspersa</w:t>
      </w:r>
      <w:proofErr w:type="spellEnd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 xml:space="preserve"> </w:t>
      </w: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(O.F. Müller, 1774) (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Gastropoda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: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Helicidae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) in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the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Czech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Republic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.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Malacologica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Bohemoslovaca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8:53-55.</w:t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Olivares C. Caracterización de algunos aspectos biológicos básicos del caracol de tierra </w:t>
      </w:r>
      <w:proofErr w:type="spellStart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>Helix</w:t>
      </w:r>
      <w:proofErr w:type="spellEnd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>aspersa</w:t>
      </w:r>
      <w:proofErr w:type="spellEnd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 xml:space="preserve"> </w:t>
      </w: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(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Mollusca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: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Gastropoda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: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Stylommatophora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) en la IV región de Chile. I. Parámetros reproductivos.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Biociȇncias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. 2005; vol. 13: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pp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177-192.</w:t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Morales S, Vivas N, Quiñonez A. y Mera E. (2006). Validación de un sistema productivo con </w:t>
      </w:r>
      <w:proofErr w:type="spellStart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>Helix</w:t>
      </w:r>
      <w:proofErr w:type="spellEnd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>aspersa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, bajo las condiciones agroecológicas del altiplano de Popayán. Facultad de Ciencias Agropecuarias. 4:21-26.</w:t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Agricense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, LTDA. (2006).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Molusquicida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para el control de Babosas y Caracoles. [Citado el 01 de Mayo del 2017]. Disponible en </w:t>
      </w:r>
      <w:hyperlink r:id="rId5" w:history="1">
        <w:r w:rsidRPr="00744CBA">
          <w:rPr>
            <w:rStyle w:val="Hipervnculo"/>
            <w:rFonts w:ascii="Arial" w:hAnsi="Arial" w:cs="Arial"/>
            <w:sz w:val="24"/>
            <w:szCs w:val="24"/>
            <w:lang w:val="es-ES_tradnl"/>
          </w:rPr>
          <w:t>http://agricense.com/agricense1/index.php/productos/molusquicidas</w:t>
        </w:r>
      </w:hyperlink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Korunic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, Z. 1997. Rapid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assessment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of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the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insecticidal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value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of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diatomaceous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earths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withouth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conducting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bioassays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. J.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Stored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Prod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. Res. 33 (3), 219-229.</w:t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</w:pP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Dal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Bello G,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Padín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S, Juárez P,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Pedrini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N, De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Giusto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M.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Biocontrol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of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Acanthoscelides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obtectus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and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Sitophilus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oryzae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with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diatomaceous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earth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and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Beauveria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bassiana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on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stored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grains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.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Biocontrol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Science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and Technology.2006. vol. 16 (2):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pp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 215-220.</w:t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Korunic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, Z. 1998.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Diatomaceous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earths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, a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group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of natural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insecticides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.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J.of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Stored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Prod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. Res. 34 (2/3), 87-97</w:t>
      </w:r>
    </w:p>
    <w:p w:rsidR="00D813B0" w:rsidRPr="00744CBA" w:rsidRDefault="00D813B0" w:rsidP="00D813B0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Agropulí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. Tierras de diatomea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Agropuli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. Memorias V Seminario del Ingeniero agrónomo, UNIPAMPLONA, 2016.</w:t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Hernández BL, Guerrero NM, Sierra MP. </w:t>
      </w:r>
      <w:r w:rsidRPr="00744CBA">
        <w:rPr>
          <w:rFonts w:ascii="Arial" w:hAnsi="Arial" w:cs="Arial"/>
          <w:bCs/>
          <w:color w:val="000000"/>
          <w:sz w:val="24"/>
          <w:szCs w:val="24"/>
          <w:lang w:val="es-ES_tradnl"/>
        </w:rPr>
        <w:t>Determinación de los daños en babosas (</w:t>
      </w:r>
      <w:proofErr w:type="spellStart"/>
      <w:r w:rsidRPr="00744CBA">
        <w:rPr>
          <w:rFonts w:ascii="Arial" w:hAnsi="Arial" w:cs="Arial"/>
          <w:bCs/>
          <w:i/>
          <w:iCs/>
          <w:color w:val="000000"/>
          <w:sz w:val="24"/>
          <w:szCs w:val="24"/>
          <w:lang w:val="es-ES_tradnl"/>
        </w:rPr>
        <w:t>Arion</w:t>
      </w:r>
      <w:proofErr w:type="spellEnd"/>
      <w:r w:rsidRPr="00744CBA">
        <w:rPr>
          <w:rFonts w:ascii="Arial" w:hAnsi="Arial" w:cs="Arial"/>
          <w:bCs/>
          <w:i/>
          <w:iCs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bCs/>
          <w:i/>
          <w:iCs/>
          <w:color w:val="000000"/>
          <w:sz w:val="24"/>
          <w:szCs w:val="24"/>
          <w:lang w:val="es-ES_tradnl"/>
        </w:rPr>
        <w:t>distinctus</w:t>
      </w:r>
      <w:proofErr w:type="spellEnd"/>
      <w:r w:rsidRPr="00744CBA">
        <w:rPr>
          <w:rFonts w:ascii="Arial" w:hAnsi="Arial" w:cs="Arial"/>
          <w:bCs/>
          <w:color w:val="000000"/>
          <w:sz w:val="24"/>
          <w:szCs w:val="24"/>
          <w:lang w:val="es-ES_tradnl"/>
        </w:rPr>
        <w:t xml:space="preserve">) causado por la tierra diatomea a diferentes concentraciones bajo condiciones de laboratorio en el ISER, Pamplona. Revista Distancia al día. 2015. </w:t>
      </w:r>
      <w:proofErr w:type="spellStart"/>
      <w:r w:rsidRPr="00744CBA">
        <w:rPr>
          <w:rFonts w:ascii="Arial" w:hAnsi="Arial" w:cs="Arial"/>
          <w:bCs/>
          <w:color w:val="000000"/>
          <w:sz w:val="24"/>
          <w:szCs w:val="24"/>
          <w:lang w:val="es-ES_tradnl"/>
        </w:rPr>
        <w:t>Vol</w:t>
      </w:r>
      <w:proofErr w:type="spellEnd"/>
      <w:r w:rsidRPr="00744CBA">
        <w:rPr>
          <w:rFonts w:ascii="Arial" w:hAnsi="Arial" w:cs="Arial"/>
          <w:bCs/>
          <w:color w:val="000000"/>
          <w:sz w:val="24"/>
          <w:szCs w:val="24"/>
          <w:lang w:val="es-ES_tradnl"/>
        </w:rPr>
        <w:t xml:space="preserve"> 1: pp1-9.</w:t>
      </w:r>
    </w:p>
    <w:p w:rsidR="00D813B0" w:rsidRPr="00744CBA" w:rsidRDefault="00D813B0" w:rsidP="00D813B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 w:rsidRPr="00744CBA">
        <w:rPr>
          <w:rFonts w:ascii="Arial" w:hAnsi="Arial" w:cs="Arial"/>
          <w:lang w:val="es-ES_tradnl"/>
        </w:rPr>
        <w:t xml:space="preserve">Herrera N,  López B,  Castellanos L, Pérez I. Incidencia de los moluscos plagas en los </w:t>
      </w:r>
      <w:proofErr w:type="spellStart"/>
      <w:r w:rsidRPr="00744CBA">
        <w:rPr>
          <w:rFonts w:ascii="Arial" w:hAnsi="Arial" w:cs="Arial"/>
          <w:lang w:val="es-ES_tradnl"/>
        </w:rPr>
        <w:t>organopónicos</w:t>
      </w:r>
      <w:proofErr w:type="spellEnd"/>
      <w:r w:rsidRPr="00744CBA">
        <w:rPr>
          <w:rFonts w:ascii="Arial" w:hAnsi="Arial" w:cs="Arial"/>
          <w:lang w:val="es-ES_tradnl"/>
        </w:rPr>
        <w:t xml:space="preserve"> del Municipio de Cienfuegos. Centro Agrícola. 2013; 40(4): 49-55.</w:t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Style w:val="CitaHTML"/>
          <w:rFonts w:ascii="Arial" w:hAnsi="Arial" w:cs="Arial"/>
          <w:i w:val="0"/>
          <w:iCs/>
          <w:color w:val="000000"/>
          <w:sz w:val="24"/>
          <w:szCs w:val="24"/>
        </w:rPr>
      </w:pP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IBM. 2012. </w:t>
      </w:r>
      <w:bookmarkStart w:id="0" w:name="IBM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IBM SPSS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Statistics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for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Windows,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Version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21.0. New York: IBM Corp. ISBN-13: 978-0205985517.Disponible en  </w:t>
      </w:r>
      <w:bookmarkEnd w:id="0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fldChar w:fldCharType="begin"/>
      </w: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instrText xml:space="preserve"> HYPERLINK "https://www.ibm.com/analytics/us/en/technology/spss/" </w:instrText>
      </w: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fldChar w:fldCharType="separate"/>
      </w:r>
      <w:r w:rsidRPr="00744CBA">
        <w:rPr>
          <w:rStyle w:val="Hipervnculo"/>
          <w:rFonts w:ascii="Arial" w:hAnsi="Arial" w:cs="Arial"/>
          <w:sz w:val="24"/>
          <w:szCs w:val="24"/>
          <w:lang w:val="es-ES_tradnl"/>
        </w:rPr>
        <w:t>https://www.ibm.com/analytics/us/en/technology/spss/</w:t>
      </w: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fldChar w:fldCharType="end"/>
      </w:r>
    </w:p>
    <w:p w:rsidR="00D813B0" w:rsidRPr="00744CBA" w:rsidRDefault="00D813B0" w:rsidP="00D813B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Style w:val="CitaHTML"/>
          <w:rFonts w:ascii="Arial" w:hAnsi="Arial" w:cs="Arial"/>
          <w:i w:val="0"/>
          <w:color w:val="000000"/>
          <w:sz w:val="24"/>
          <w:szCs w:val="24"/>
          <w:lang w:val="es-ES_tradnl"/>
        </w:rPr>
      </w:pP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Tarqui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, J. 2007. Efecto de tres </w:t>
      </w:r>
      <w:proofErr w:type="spellStart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bioplaguicidas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 para el control del pulgón (</w:t>
      </w:r>
      <w:proofErr w:type="spellStart"/>
      <w:r w:rsidRPr="00744CBA">
        <w:rPr>
          <w:rFonts w:ascii="Arial" w:hAnsi="Arial" w:cs="Arial"/>
          <w:i/>
          <w:color w:val="000000"/>
          <w:sz w:val="24"/>
          <w:szCs w:val="24"/>
          <w:lang w:val="es-ES_tradnl"/>
        </w:rPr>
        <w:t>Aphis</w:t>
      </w:r>
      <w:proofErr w:type="spellEnd"/>
      <w:r w:rsidRPr="00744CBA">
        <w:rPr>
          <w:rFonts w:ascii="Arial" w:hAnsi="Arial" w:cs="Arial"/>
          <w:i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i/>
          <w:color w:val="000000"/>
          <w:sz w:val="24"/>
          <w:szCs w:val="24"/>
          <w:lang w:val="es-ES_tradnl"/>
        </w:rPr>
        <w:t>sp</w:t>
      </w:r>
      <w:proofErr w:type="spellEnd"/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) en el cultivo de lechuga en ambientes protegidos en la ciudad de El Alto. </w:t>
      </w:r>
      <w:r w:rsidRPr="00744CBA">
        <w:rPr>
          <w:rFonts w:ascii="Arial" w:eastAsia="Calibri" w:hAnsi="Arial" w:cs="Arial"/>
          <w:color w:val="000000"/>
          <w:sz w:val="24"/>
          <w:szCs w:val="24"/>
          <w:lang w:val="es-ES_tradnl"/>
        </w:rPr>
        <w:t>Trabajo de Diploma en opción al título de Ingeniero agrónomo, Universidad Mayor de San Andrés, La Paz, Bolivia; 82 p.</w:t>
      </w:r>
    </w:p>
    <w:p w:rsidR="00D813B0" w:rsidRPr="00744CBA" w:rsidRDefault="00D813B0" w:rsidP="00744CB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 xml:space="preserve">Centro Nacional de Sanidad Vegetal. Manual del Inspector de Protección de Plantas. La Habana. Cuba. 2014; 49p. </w:t>
      </w:r>
    </w:p>
    <w:p w:rsidR="00D813B0" w:rsidRPr="00744CBA" w:rsidRDefault="00D813B0" w:rsidP="00744CB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lastRenderedPageBreak/>
        <w:t xml:space="preserve">Martin C, </w:t>
      </w:r>
      <w:proofErr w:type="spellStart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>Perez</w:t>
      </w:r>
      <w:proofErr w:type="spellEnd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 xml:space="preserve"> Y, Castellanos L, Soto B. 2017. Efectividad de extractos vegetales para el control de </w:t>
      </w:r>
      <w:proofErr w:type="spellStart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>Praticolella</w:t>
      </w:r>
      <w:proofErr w:type="spellEnd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>griseola</w:t>
      </w:r>
      <w:proofErr w:type="spellEnd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 xml:space="preserve"> (</w:t>
      </w:r>
      <w:proofErr w:type="spellStart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>Pfeiffer</w:t>
      </w:r>
      <w:proofErr w:type="spellEnd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>) (</w:t>
      </w:r>
      <w:proofErr w:type="spellStart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>Gastropoda</w:t>
      </w:r>
      <w:proofErr w:type="spellEnd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 xml:space="preserve">: </w:t>
      </w:r>
      <w:proofErr w:type="spellStart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>Polygyridae</w:t>
      </w:r>
      <w:proofErr w:type="spellEnd"/>
      <w:r w:rsidRPr="00744CBA">
        <w:rPr>
          <w:rFonts w:ascii="Arial" w:hAnsi="Arial" w:cs="Arial"/>
          <w:bCs/>
          <w:color w:val="000000"/>
          <w:kern w:val="36"/>
          <w:sz w:val="24"/>
          <w:szCs w:val="24"/>
          <w:lang w:val="es-ES_tradnl"/>
        </w:rPr>
        <w:t>). 44)2) 68-74</w:t>
      </w:r>
    </w:p>
    <w:p w:rsidR="00D813B0" w:rsidRPr="00744CBA" w:rsidRDefault="00D813B0" w:rsidP="00744CBA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outlineLvl w:val="0"/>
        <w:rPr>
          <w:rFonts w:ascii="Arial" w:hAnsi="Arial" w:cs="Arial"/>
          <w:bCs/>
          <w:color w:val="000000"/>
          <w:sz w:val="24"/>
          <w:szCs w:val="24"/>
          <w:lang w:val="es-ES_tradnl"/>
        </w:rPr>
      </w:pPr>
      <w:proofErr w:type="spellStart"/>
      <w:r w:rsidRPr="00744CBA">
        <w:rPr>
          <w:rFonts w:ascii="Arial" w:hAnsi="Arial" w:cs="Arial"/>
          <w:bCs/>
          <w:color w:val="000000"/>
          <w:sz w:val="24"/>
          <w:szCs w:val="24"/>
          <w:lang w:val="es-ES_tradnl"/>
        </w:rPr>
        <w:t>Nodarse</w:t>
      </w:r>
      <w:proofErr w:type="spellEnd"/>
      <w:r w:rsidRPr="00744CBA">
        <w:rPr>
          <w:rFonts w:ascii="Arial" w:hAnsi="Arial" w:cs="Arial"/>
          <w:bCs/>
          <w:color w:val="000000"/>
          <w:sz w:val="24"/>
          <w:szCs w:val="24"/>
          <w:lang w:val="es-ES_tradnl"/>
        </w:rPr>
        <w:t xml:space="preserve"> M, Castellanos L, Pérez, A, Becerra. EJ. 2015.Eficacia de los jugos de </w:t>
      </w:r>
      <w:proofErr w:type="spellStart"/>
      <w:r w:rsidRPr="00744CBA">
        <w:rPr>
          <w:rFonts w:ascii="Arial" w:hAnsi="Arial" w:cs="Arial"/>
          <w:bCs/>
          <w:i/>
          <w:iCs/>
          <w:color w:val="000000"/>
          <w:sz w:val="24"/>
          <w:szCs w:val="24"/>
          <w:lang w:val="es-ES_tradnl"/>
        </w:rPr>
        <w:t>Furcraea</w:t>
      </w:r>
      <w:proofErr w:type="spellEnd"/>
      <w:r w:rsidRPr="00744CBA">
        <w:rPr>
          <w:rFonts w:ascii="Arial" w:hAnsi="Arial" w:cs="Arial"/>
          <w:bCs/>
          <w:i/>
          <w:iCs/>
          <w:color w:val="000000"/>
          <w:sz w:val="24"/>
          <w:szCs w:val="24"/>
          <w:lang w:val="es-ES_tradnl"/>
        </w:rPr>
        <w:t xml:space="preserve"> hexapétala </w:t>
      </w:r>
      <w:r w:rsidRPr="00744CBA">
        <w:rPr>
          <w:rFonts w:ascii="Arial" w:hAnsi="Arial" w:cs="Arial"/>
          <w:bCs/>
          <w:color w:val="000000"/>
          <w:sz w:val="24"/>
          <w:szCs w:val="24"/>
          <w:lang w:val="es-ES_tradnl"/>
        </w:rPr>
        <w:t xml:space="preserve">y </w:t>
      </w:r>
      <w:r w:rsidRPr="00744CBA">
        <w:rPr>
          <w:rFonts w:ascii="Arial" w:hAnsi="Arial" w:cs="Arial"/>
          <w:bCs/>
          <w:i/>
          <w:iCs/>
          <w:color w:val="000000"/>
          <w:sz w:val="24"/>
          <w:szCs w:val="24"/>
          <w:lang w:val="es-ES_tradnl"/>
        </w:rPr>
        <w:t xml:space="preserve">Agave </w:t>
      </w:r>
      <w:proofErr w:type="spellStart"/>
      <w:r w:rsidRPr="00744CBA">
        <w:rPr>
          <w:rFonts w:ascii="Arial" w:hAnsi="Arial" w:cs="Arial"/>
          <w:bCs/>
          <w:i/>
          <w:iCs/>
          <w:color w:val="000000"/>
          <w:sz w:val="24"/>
          <w:szCs w:val="24"/>
          <w:lang w:val="es-ES_tradnl"/>
        </w:rPr>
        <w:t>brittoniana</w:t>
      </w:r>
      <w:proofErr w:type="spellEnd"/>
      <w:r w:rsidRPr="00744CBA">
        <w:rPr>
          <w:rFonts w:ascii="Arial" w:hAnsi="Arial" w:cs="Arial"/>
          <w:bCs/>
          <w:i/>
          <w:iCs/>
          <w:color w:val="000000"/>
          <w:sz w:val="24"/>
          <w:szCs w:val="24"/>
          <w:lang w:val="es-ES_tradnl"/>
        </w:rPr>
        <w:t xml:space="preserve"> </w:t>
      </w:r>
      <w:r w:rsidRPr="00744CBA">
        <w:rPr>
          <w:rFonts w:ascii="Arial" w:hAnsi="Arial" w:cs="Arial"/>
          <w:bCs/>
          <w:color w:val="000000"/>
          <w:sz w:val="24"/>
          <w:szCs w:val="24"/>
          <w:lang w:val="es-ES_tradnl"/>
        </w:rPr>
        <w:t xml:space="preserve">para el control de moluscos plagas en acelga en </w:t>
      </w:r>
      <w:proofErr w:type="spellStart"/>
      <w:r w:rsidRPr="00744CBA">
        <w:rPr>
          <w:rFonts w:ascii="Arial" w:hAnsi="Arial" w:cs="Arial"/>
          <w:bCs/>
          <w:color w:val="000000"/>
          <w:sz w:val="24"/>
          <w:szCs w:val="24"/>
          <w:lang w:val="es-ES_tradnl"/>
        </w:rPr>
        <w:t>organopónicos</w:t>
      </w:r>
      <w:proofErr w:type="spellEnd"/>
      <w:r w:rsidRPr="00744CBA">
        <w:rPr>
          <w:rStyle w:val="WW8Num2z0"/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744CBA">
        <w:rPr>
          <w:rStyle w:val="WW8Num2z0"/>
          <w:rFonts w:ascii="Arial" w:hAnsi="Arial" w:cs="Arial"/>
          <w:color w:val="000000"/>
          <w:sz w:val="24"/>
          <w:szCs w:val="24"/>
          <w:lang w:val="es-ES_tradnl"/>
        </w:rPr>
        <w:t>Agroecosistemas</w:t>
      </w:r>
      <w:proofErr w:type="spellEnd"/>
      <w:r w:rsidRPr="00744CBA">
        <w:rPr>
          <w:rStyle w:val="WW8Num2z0"/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r w:rsidRPr="00744CBA">
        <w:rPr>
          <w:rFonts w:ascii="Arial" w:hAnsi="Arial" w:cs="Arial"/>
          <w:color w:val="000000"/>
          <w:sz w:val="24"/>
          <w:szCs w:val="24"/>
          <w:lang w:val="es-ES_tradnl"/>
        </w:rPr>
        <w:t>Vol.3 No.2: 488- 493</w:t>
      </w:r>
    </w:p>
    <w:p w:rsidR="00CB7FDC" w:rsidRDefault="00CB7FDC">
      <w:bookmarkStart w:id="1" w:name="_GoBack"/>
      <w:bookmarkEnd w:id="1"/>
    </w:p>
    <w:sectPr w:rsidR="00CB7FDC" w:rsidSect="000A5587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58299F"/>
    <w:multiLevelType w:val="hybridMultilevel"/>
    <w:tmpl w:val="E9307F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74"/>
    <w:rsid w:val="000A5587"/>
    <w:rsid w:val="00135B74"/>
    <w:rsid w:val="001B4436"/>
    <w:rsid w:val="00624FFD"/>
    <w:rsid w:val="00697F4A"/>
    <w:rsid w:val="00744CBA"/>
    <w:rsid w:val="00CA4E79"/>
    <w:rsid w:val="00CB7FDC"/>
    <w:rsid w:val="00CD29B8"/>
    <w:rsid w:val="00D813B0"/>
    <w:rsid w:val="00E3486B"/>
    <w:rsid w:val="00F8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E930F1-DC8E-4975-BD10-E54753D5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348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48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CitaHTML">
    <w:name w:val="HTML Cite"/>
    <w:uiPriority w:val="99"/>
    <w:semiHidden/>
    <w:unhideWhenUsed/>
    <w:rsid w:val="00E3486B"/>
    <w:rPr>
      <w:rFonts w:cs="Times New Roman"/>
      <w:i/>
    </w:rPr>
  </w:style>
  <w:style w:type="character" w:customStyle="1" w:styleId="WW8Num2z0">
    <w:name w:val="WW8Num2z0"/>
    <w:rsid w:val="00E3486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gricense.com/agricense1/index.php/productos/molusquicid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2017-09-24T03:50:00Z</dcterms:created>
  <dcterms:modified xsi:type="dcterms:W3CDTF">2017-09-24T13:59:00Z</dcterms:modified>
</cp:coreProperties>
</file>