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83C" w:rsidRPr="00155D8E" w:rsidRDefault="00780889">
      <w:pPr>
        <w:rPr>
          <w:b/>
          <w:sz w:val="28"/>
          <w:szCs w:val="28"/>
        </w:rPr>
      </w:pPr>
      <w:bookmarkStart w:id="0" w:name="_GoBack"/>
      <w:bookmarkEnd w:id="0"/>
      <w:r w:rsidRPr="00155D8E">
        <w:rPr>
          <w:b/>
          <w:sz w:val="28"/>
          <w:szCs w:val="28"/>
        </w:rPr>
        <w:t>FIGURAS</w:t>
      </w:r>
    </w:p>
    <w:p w:rsidR="00780889" w:rsidRDefault="00155D8E">
      <w:r w:rsidRPr="00780889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 wp14:anchorId="51835BE0" wp14:editId="37687472">
            <wp:simplePos x="0" y="0"/>
            <wp:positionH relativeFrom="column">
              <wp:posOffset>-2540</wp:posOffset>
            </wp:positionH>
            <wp:positionV relativeFrom="paragraph">
              <wp:posOffset>323215</wp:posOffset>
            </wp:positionV>
            <wp:extent cx="2143760" cy="1755140"/>
            <wp:effectExtent l="0" t="0" r="8890" b="0"/>
            <wp:wrapSquare wrapText="bothSides"/>
            <wp:docPr id="1" name="Imagen 1" descr="Resultado de imagen de escala de bristol para evaluar las he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escala de bristol para evaluar las hec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0889" w:rsidRDefault="00780889"/>
    <w:p w:rsidR="00780889" w:rsidRDefault="00780889"/>
    <w:p w:rsidR="00780889" w:rsidRDefault="00780889"/>
    <w:p w:rsidR="00780889" w:rsidRDefault="00780889"/>
    <w:p w:rsidR="00780889" w:rsidRDefault="00780889"/>
    <w:p w:rsidR="00155D8E" w:rsidRDefault="00155D8E"/>
    <w:p w:rsidR="00155D8E" w:rsidRPr="00155D8E" w:rsidRDefault="00155D8E">
      <w:pPr>
        <w:rPr>
          <w:rFonts w:ascii="Times New Roman" w:hAnsi="Times New Roman" w:cs="Times New Roman"/>
          <w:sz w:val="24"/>
          <w:szCs w:val="24"/>
        </w:rPr>
      </w:pPr>
      <w:r w:rsidRPr="00155D8E">
        <w:rPr>
          <w:rFonts w:ascii="Times New Roman" w:hAnsi="Times New Roman" w:cs="Times New Roman"/>
          <w:b/>
          <w:sz w:val="24"/>
          <w:szCs w:val="24"/>
        </w:rPr>
        <w:t>Figura 1</w:t>
      </w:r>
      <w:r w:rsidRPr="00155D8E">
        <w:rPr>
          <w:rFonts w:ascii="Times New Roman" w:hAnsi="Times New Roman" w:cs="Times New Roman"/>
          <w:sz w:val="24"/>
          <w:szCs w:val="24"/>
        </w:rPr>
        <w:t>.Representación Escala Bristol</w:t>
      </w:r>
    </w:p>
    <w:p w:rsidR="00155D8E" w:rsidRDefault="00155D8E"/>
    <w:p w:rsidR="00780889" w:rsidRDefault="00780889" w:rsidP="00155D8E">
      <w:r w:rsidRPr="00ED4267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5AECAC20" wp14:editId="44942D37">
            <wp:extent cx="5400040" cy="2583525"/>
            <wp:effectExtent l="0" t="0" r="0" b="762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80889" w:rsidRPr="00155D8E" w:rsidRDefault="00155D8E">
      <w:pPr>
        <w:rPr>
          <w:rFonts w:ascii="Times New Roman" w:hAnsi="Times New Roman" w:cs="Times New Roman"/>
          <w:sz w:val="24"/>
          <w:szCs w:val="24"/>
        </w:rPr>
      </w:pPr>
      <w:r w:rsidRPr="00155D8E">
        <w:rPr>
          <w:rFonts w:ascii="Times New Roman" w:hAnsi="Times New Roman" w:cs="Times New Roman"/>
          <w:b/>
          <w:sz w:val="24"/>
          <w:szCs w:val="24"/>
        </w:rPr>
        <w:t>Figura 2.</w:t>
      </w:r>
      <w:r w:rsidRPr="00155D8E">
        <w:rPr>
          <w:rFonts w:ascii="Times New Roman" w:hAnsi="Times New Roman" w:cs="Times New Roman"/>
          <w:sz w:val="24"/>
          <w:szCs w:val="24"/>
        </w:rPr>
        <w:t xml:space="preserve"> Representación valores de la variable patologías asociadas</w:t>
      </w:r>
    </w:p>
    <w:p w:rsidR="00780889" w:rsidRDefault="00780889"/>
    <w:p w:rsidR="00780889" w:rsidRDefault="00780889"/>
    <w:p w:rsidR="00780889" w:rsidRDefault="00780889"/>
    <w:p w:rsidR="00780889" w:rsidRDefault="00780889"/>
    <w:p w:rsidR="00780889" w:rsidRDefault="00780889"/>
    <w:p w:rsidR="00780889" w:rsidRDefault="00780889"/>
    <w:p w:rsidR="00780889" w:rsidRDefault="00780889"/>
    <w:p w:rsidR="00780889" w:rsidRDefault="00780889"/>
    <w:p w:rsidR="00780889" w:rsidRDefault="00780889"/>
    <w:p w:rsidR="00780889" w:rsidRDefault="00780889">
      <w:r w:rsidRPr="00ED4267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0D57DD8C" wp14:editId="7EDAECB1">
            <wp:extent cx="5324475" cy="247650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80889" w:rsidRPr="00780889" w:rsidRDefault="00780889" w:rsidP="00780889">
      <w:pPr>
        <w:tabs>
          <w:tab w:val="left" w:pos="1035"/>
        </w:tabs>
      </w:pPr>
      <w:r>
        <w:tab/>
      </w:r>
      <w:r w:rsidRPr="00780889">
        <w:rPr>
          <w:rFonts w:ascii="Times New Roman" w:hAnsi="Times New Roman" w:cs="Times New Roman"/>
          <w:noProof/>
          <w:lang w:eastAsia="es-ES"/>
        </w:rPr>
        <w:drawing>
          <wp:inline distT="0" distB="0" distL="0" distR="0" wp14:anchorId="30EF3AF5" wp14:editId="64B58B3D">
            <wp:extent cx="5285740" cy="50482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80889">
        <w:rPr>
          <w:rFonts w:ascii="Times New Roman" w:hAnsi="Times New Roman" w:cs="Times New Roman"/>
          <w:b/>
          <w:sz w:val="24"/>
          <w:szCs w:val="24"/>
        </w:rPr>
        <w:t>Figura 3</w:t>
      </w:r>
      <w:r w:rsidRPr="00780889">
        <w:rPr>
          <w:rFonts w:ascii="Times New Roman" w:hAnsi="Times New Roman" w:cs="Times New Roman"/>
          <w:sz w:val="24"/>
          <w:szCs w:val="24"/>
        </w:rPr>
        <w:t>. Representación valores evaluación intervención nutricional</w:t>
      </w:r>
    </w:p>
    <w:p w:rsidR="00780889" w:rsidRDefault="00780889" w:rsidP="00780889">
      <w:pPr>
        <w:tabs>
          <w:tab w:val="left" w:pos="2970"/>
        </w:tabs>
      </w:pPr>
    </w:p>
    <w:p w:rsidR="00155D8E" w:rsidRDefault="00155D8E" w:rsidP="00780889">
      <w:pPr>
        <w:tabs>
          <w:tab w:val="left" w:pos="2970"/>
        </w:tabs>
      </w:pPr>
      <w:r w:rsidRPr="00ED4267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14E62D11" wp14:editId="5D5BB379">
            <wp:extent cx="4572000" cy="260985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55D8E" w:rsidRPr="00155D8E" w:rsidRDefault="00155D8E" w:rsidP="00780889">
      <w:pPr>
        <w:tabs>
          <w:tab w:val="left" w:pos="2970"/>
        </w:tabs>
        <w:rPr>
          <w:lang w:val="en-US"/>
        </w:rPr>
      </w:pPr>
      <w:r w:rsidRPr="00155D8E">
        <w:rPr>
          <w:lang w:val="en-US"/>
        </w:rPr>
        <w:t>*HFD: HIGH FODMAP DIET</w:t>
      </w:r>
    </w:p>
    <w:p w:rsidR="00155D8E" w:rsidRPr="00155D8E" w:rsidRDefault="00155D8E" w:rsidP="00155D8E">
      <w:pPr>
        <w:tabs>
          <w:tab w:val="left" w:pos="2970"/>
        </w:tabs>
        <w:rPr>
          <w:rFonts w:ascii="Times New Roman" w:hAnsi="Times New Roman" w:cs="Times New Roman"/>
          <w:i/>
          <w:sz w:val="24"/>
          <w:szCs w:val="24"/>
        </w:rPr>
      </w:pPr>
      <w:r w:rsidRPr="00155D8E">
        <w:rPr>
          <w:rFonts w:ascii="Times New Roman" w:hAnsi="Times New Roman" w:cs="Times New Roman"/>
          <w:b/>
          <w:sz w:val="24"/>
          <w:szCs w:val="24"/>
          <w:lang w:val="en-US"/>
        </w:rPr>
        <w:t>Figura 4</w:t>
      </w:r>
      <w:r w:rsidRPr="00155D8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55D8E">
        <w:rPr>
          <w:rFonts w:ascii="Times New Roman" w:hAnsi="Times New Roman" w:cs="Times New Roman"/>
          <w:sz w:val="24"/>
          <w:szCs w:val="24"/>
        </w:rPr>
        <w:t>Representación resultados intervención nutricional control</w:t>
      </w:r>
    </w:p>
    <w:p w:rsidR="00155D8E" w:rsidRDefault="00155D8E" w:rsidP="00780889">
      <w:pPr>
        <w:tabs>
          <w:tab w:val="left" w:pos="2970"/>
        </w:tabs>
      </w:pPr>
    </w:p>
    <w:p w:rsidR="00155D8E" w:rsidRDefault="00155D8E" w:rsidP="00780889">
      <w:pPr>
        <w:tabs>
          <w:tab w:val="left" w:pos="2970"/>
        </w:tabs>
      </w:pPr>
    </w:p>
    <w:p w:rsidR="00155D8E" w:rsidRDefault="00155D8E" w:rsidP="00155D8E">
      <w:pPr>
        <w:tabs>
          <w:tab w:val="left" w:pos="2970"/>
        </w:tabs>
      </w:pPr>
      <w:r w:rsidRPr="00ED4267">
        <w:rPr>
          <w:rFonts w:ascii="Times New Roman" w:hAnsi="Times New Roman" w:cs="Times New Roman"/>
          <w:noProof/>
          <w:sz w:val="24"/>
          <w:szCs w:val="24"/>
          <w:lang w:eastAsia="es-ES"/>
        </w:rPr>
        <w:lastRenderedPageBreak/>
        <w:drawing>
          <wp:inline distT="0" distB="0" distL="0" distR="0" wp14:anchorId="28A5BFF4" wp14:editId="79C1B8A5">
            <wp:extent cx="5400040" cy="3005038"/>
            <wp:effectExtent l="0" t="0" r="0" b="508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55D8E" w:rsidRPr="00155D8E" w:rsidRDefault="00155D8E" w:rsidP="00155D8E">
      <w:pPr>
        <w:tabs>
          <w:tab w:val="left" w:pos="2970"/>
        </w:tabs>
        <w:rPr>
          <w:rFonts w:ascii="Times New Roman" w:hAnsi="Times New Roman" w:cs="Times New Roman"/>
          <w:sz w:val="24"/>
          <w:szCs w:val="24"/>
        </w:rPr>
      </w:pPr>
      <w:r w:rsidRPr="00155D8E">
        <w:rPr>
          <w:rFonts w:ascii="Times New Roman" w:hAnsi="Times New Roman" w:cs="Times New Roman"/>
          <w:b/>
          <w:sz w:val="24"/>
          <w:szCs w:val="24"/>
        </w:rPr>
        <w:t>Figura 5.</w:t>
      </w:r>
      <w:r w:rsidRPr="00155D8E">
        <w:rPr>
          <w:rFonts w:ascii="Times New Roman" w:hAnsi="Times New Roman" w:cs="Times New Roman"/>
          <w:sz w:val="24"/>
          <w:szCs w:val="24"/>
        </w:rPr>
        <w:t>Representación gráfica resultados variable tratamiento coadyuvante</w:t>
      </w:r>
    </w:p>
    <w:p w:rsidR="00155D8E" w:rsidRPr="00155D8E" w:rsidRDefault="00155D8E" w:rsidP="00155D8E">
      <w:pPr>
        <w:tabs>
          <w:tab w:val="left" w:pos="2970"/>
        </w:tabs>
        <w:rPr>
          <w:rFonts w:ascii="Times New Roman" w:hAnsi="Times New Roman" w:cs="Times New Roman"/>
          <w:sz w:val="24"/>
          <w:szCs w:val="24"/>
        </w:rPr>
      </w:pPr>
    </w:p>
    <w:p w:rsidR="00155D8E" w:rsidRDefault="00155D8E" w:rsidP="00780889">
      <w:pPr>
        <w:tabs>
          <w:tab w:val="left" w:pos="2970"/>
        </w:tabs>
      </w:pPr>
    </w:p>
    <w:p w:rsidR="00155D8E" w:rsidRDefault="00155D8E" w:rsidP="00780889">
      <w:pPr>
        <w:tabs>
          <w:tab w:val="left" w:pos="2970"/>
        </w:tabs>
      </w:pPr>
    </w:p>
    <w:p w:rsidR="00155D8E" w:rsidRDefault="00155D8E" w:rsidP="00780889">
      <w:pPr>
        <w:tabs>
          <w:tab w:val="left" w:pos="2970"/>
        </w:tabs>
      </w:pPr>
    </w:p>
    <w:p w:rsidR="00155D8E" w:rsidRDefault="00155D8E" w:rsidP="00780889">
      <w:pPr>
        <w:tabs>
          <w:tab w:val="left" w:pos="2970"/>
        </w:tabs>
      </w:pPr>
    </w:p>
    <w:p w:rsidR="00155D8E" w:rsidRPr="00780889" w:rsidRDefault="00155D8E" w:rsidP="00780889">
      <w:pPr>
        <w:tabs>
          <w:tab w:val="left" w:pos="2970"/>
        </w:tabs>
      </w:pPr>
    </w:p>
    <w:p w:rsidR="00780889" w:rsidRPr="00780889" w:rsidRDefault="00780889" w:rsidP="00780889">
      <w:pPr>
        <w:tabs>
          <w:tab w:val="left" w:pos="2970"/>
        </w:tabs>
      </w:pPr>
    </w:p>
    <w:sectPr w:rsidR="00780889" w:rsidRPr="007808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889"/>
    <w:rsid w:val="00155D8E"/>
    <w:rsid w:val="0021711C"/>
    <w:rsid w:val="00780889"/>
    <w:rsid w:val="009E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0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0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chart" Target="charts/chart1.xml"/><Relationship Id="rId7" Type="http://schemas.openxmlformats.org/officeDocument/2006/relationships/chart" Target="charts/chart2.xml"/><Relationship Id="rId8" Type="http://schemas.openxmlformats.org/officeDocument/2006/relationships/image" Target="media/image2.png"/><Relationship Id="rId9" Type="http://schemas.openxmlformats.org/officeDocument/2006/relationships/chart" Target="charts/chart3.xml"/><Relationship Id="rId10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1.xml"/><Relationship Id="rId2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2.xml"/><Relationship Id="rId2" Type="http://schemas.openxmlformats.org/officeDocument/2006/relationships/package" Target="../embeddings/Hoja_de_c_lculo_de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3.xml"/><Relationship Id="rId2" Type="http://schemas.openxmlformats.org/officeDocument/2006/relationships/package" Target="../embeddings/Hoja_de_c_lculo_de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4.xml"/><Relationship Id="rId2" Type="http://schemas.openxmlformats.org/officeDocument/2006/relationships/package" Target="../embeddings/Hoja_de_c_lculo_de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% Estudios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9,52%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9,52%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4,76%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9,52%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4,76%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4,76%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4,76%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4,76%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/>
                      <a:t>4,76%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/>
                      <a:t>4,76%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/>
              <c:tx>
                <c:rich>
                  <a:bodyPr/>
                  <a:lstStyle/>
                  <a:p>
                    <a:r>
                      <a:rPr lang="en-US"/>
                      <a:t>4,76%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/>
              <c:tx>
                <c:rich>
                  <a:bodyPr/>
                  <a:lstStyle/>
                  <a:p>
                    <a:r>
                      <a:rPr lang="en-US"/>
                      <a:t>52,38%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lang="en-US"/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Hoja1!$A$2:$A$13</c:f>
              <c:strCache>
                <c:ptCount val="12"/>
                <c:pt idx="0">
                  <c:v>Intolerancia lactosa</c:v>
                </c:pt>
                <c:pt idx="1">
                  <c:v>Malabsorción lactosa</c:v>
                </c:pt>
                <c:pt idx="2">
                  <c:v>Intolerancia Gluten</c:v>
                </c:pt>
                <c:pt idx="3">
                  <c:v>Malabsorción fructosa</c:v>
                </c:pt>
                <c:pt idx="4">
                  <c:v>Sensibilidad Gluten No celiaca</c:v>
                </c:pt>
                <c:pt idx="5">
                  <c:v>Alergía Alimentaria</c:v>
                </c:pt>
                <c:pt idx="6">
                  <c:v>Helycobacter Pilory</c:v>
                </c:pt>
                <c:pt idx="7">
                  <c:v>Migraña</c:v>
                </c:pt>
                <c:pt idx="8">
                  <c:v>Fibromialgia</c:v>
                </c:pt>
                <c:pt idx="9">
                  <c:v>Reflujo</c:v>
                </c:pt>
                <c:pt idx="10">
                  <c:v>Distensión abdominal funcional</c:v>
                </c:pt>
                <c:pt idx="11">
                  <c:v>No aparece(N/A) </c:v>
                </c:pt>
              </c:strCache>
            </c:strRef>
          </c:cat>
          <c:val>
            <c:numRef>
              <c:f>Hoja1!$B$2:$B$13</c:f>
              <c:numCache>
                <c:formatCode>General</c:formatCode>
                <c:ptCount val="12"/>
                <c:pt idx="0">
                  <c:v>9.52</c:v>
                </c:pt>
                <c:pt idx="1">
                  <c:v>9.52</c:v>
                </c:pt>
                <c:pt idx="2">
                  <c:v>4.76</c:v>
                </c:pt>
                <c:pt idx="3">
                  <c:v>9.52</c:v>
                </c:pt>
                <c:pt idx="4">
                  <c:v>4.76</c:v>
                </c:pt>
                <c:pt idx="5">
                  <c:v>4.76</c:v>
                </c:pt>
                <c:pt idx="6">
                  <c:v>4.76</c:v>
                </c:pt>
                <c:pt idx="7">
                  <c:v>4.76</c:v>
                </c:pt>
                <c:pt idx="8">
                  <c:v>4.76</c:v>
                </c:pt>
                <c:pt idx="9">
                  <c:v>4.76</c:v>
                </c:pt>
                <c:pt idx="10">
                  <c:v>4.76</c:v>
                </c:pt>
                <c:pt idx="11">
                  <c:v>52.38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45223528"/>
        <c:axId val="-2072183912"/>
      </c:barChart>
      <c:catAx>
        <c:axId val="2145223528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lang="en-US"/>
            </a:pPr>
            <a:endParaRPr lang="es-ES"/>
          </a:p>
        </c:txPr>
        <c:crossAx val="-2072183912"/>
        <c:crosses val="autoZero"/>
        <c:auto val="1"/>
        <c:lblAlgn val="ctr"/>
        <c:lblOffset val="100"/>
        <c:noMultiLvlLbl val="0"/>
      </c:catAx>
      <c:valAx>
        <c:axId val="-207218391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s-ES"/>
          </a:p>
        </c:txPr>
        <c:crossAx val="2145223528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lang="en-US"/>
          </a:pPr>
          <a:endParaRPr lang="es-E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%Estudios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47,6%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28,57%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9,52%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14,28%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4,76%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4,76%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lang="en-US"/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Hoja1!$A$2:$A$7</c:f>
              <c:strCache>
                <c:ptCount val="6"/>
                <c:pt idx="0">
                  <c:v>LFD*(profesional)</c:v>
                </c:pt>
                <c:pt idx="1">
                  <c:v>LFD(orientación dietética)</c:v>
                </c:pt>
                <c:pt idx="2">
                  <c:v>Dieta baja en fructosa</c:v>
                </c:pt>
                <c:pt idx="3">
                  <c:v>Dieta sin Gluten</c:v>
                </c:pt>
                <c:pt idx="4">
                  <c:v>Dieta Sin Lactosa</c:v>
                </c:pt>
                <c:pt idx="5">
                  <c:v>Eliminación   alérgenos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47.6</c:v>
                </c:pt>
                <c:pt idx="1">
                  <c:v>28.57</c:v>
                </c:pt>
                <c:pt idx="2">
                  <c:v>9.52</c:v>
                </c:pt>
                <c:pt idx="3">
                  <c:v>14.28</c:v>
                </c:pt>
                <c:pt idx="4">
                  <c:v>4.76</c:v>
                </c:pt>
                <c:pt idx="5">
                  <c:v>4.76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72022504"/>
        <c:axId val="2145325192"/>
      </c:barChart>
      <c:catAx>
        <c:axId val="-207202250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lang="en-US"/>
            </a:pPr>
            <a:endParaRPr lang="es-ES"/>
          </a:p>
        </c:txPr>
        <c:crossAx val="2145325192"/>
        <c:crosses val="autoZero"/>
        <c:auto val="1"/>
        <c:lblAlgn val="ctr"/>
        <c:lblOffset val="100"/>
        <c:noMultiLvlLbl val="0"/>
      </c:catAx>
      <c:valAx>
        <c:axId val="21453251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s-ES"/>
          </a:p>
        </c:txPr>
        <c:crossAx val="-20720225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1217671865091"/>
          <c:y val="0.349006343971164"/>
          <c:w val="0.137024538599342"/>
          <c:h val="0.0728415443537836"/>
        </c:manualLayout>
      </c:layout>
      <c:overlay val="0"/>
      <c:txPr>
        <a:bodyPr/>
        <a:lstStyle/>
        <a:p>
          <a:pPr>
            <a:defRPr lang="en-US"/>
          </a:pPr>
          <a:endParaRPr lang="es-E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%Estudios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14,28%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4,76%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4,76%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4,76%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4,76%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14,28%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4,76%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4,76%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/>
                      <a:t>14,28%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lang="en-US"/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Hoja1!$A$2:$A$10</c:f>
              <c:strCache>
                <c:ptCount val="9"/>
                <c:pt idx="0">
                  <c:v>HFD*</c:v>
                </c:pt>
                <c:pt idx="1">
                  <c:v>Alta fructosa</c:v>
                </c:pt>
                <c:pt idx="2">
                  <c:v>Alto Gluten</c:v>
                </c:pt>
                <c:pt idx="3">
                  <c:v>Eliminación  No alérgenos</c:v>
                </c:pt>
                <c:pt idx="4">
                  <c:v>hábitos tradicionales  dietéticos</c:v>
                </c:pt>
                <c:pt idx="5">
                  <c:v>Dieta habitual</c:v>
                </c:pt>
                <c:pt idx="6">
                  <c:v>Hypnoterapia</c:v>
                </c:pt>
                <c:pt idx="7">
                  <c:v>Lactobacillus</c:v>
                </c:pt>
                <c:pt idx="8">
                  <c:v>No intervención</c:v>
                </c:pt>
              </c:strCache>
            </c:strRef>
          </c:cat>
          <c:val>
            <c:numRef>
              <c:f>Hoja1!$B$2:$B$10</c:f>
              <c:numCache>
                <c:formatCode>General</c:formatCode>
                <c:ptCount val="9"/>
                <c:pt idx="0">
                  <c:v>14.28</c:v>
                </c:pt>
                <c:pt idx="1">
                  <c:v>4.76</c:v>
                </c:pt>
                <c:pt idx="2">
                  <c:v>4.76</c:v>
                </c:pt>
                <c:pt idx="3">
                  <c:v>4.76</c:v>
                </c:pt>
                <c:pt idx="4">
                  <c:v>4.76</c:v>
                </c:pt>
                <c:pt idx="5">
                  <c:v>14.28</c:v>
                </c:pt>
                <c:pt idx="6">
                  <c:v>4.76</c:v>
                </c:pt>
                <c:pt idx="7">
                  <c:v>4.76</c:v>
                </c:pt>
                <c:pt idx="8">
                  <c:v>14.28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64596296"/>
        <c:axId val="-2064593416"/>
      </c:barChart>
      <c:catAx>
        <c:axId val="-2064596296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s-ES"/>
          </a:p>
        </c:txPr>
        <c:crossAx val="-2064593416"/>
        <c:crosses val="autoZero"/>
        <c:auto val="1"/>
        <c:lblAlgn val="ctr"/>
        <c:lblOffset val="100"/>
        <c:noMultiLvlLbl val="0"/>
      </c:catAx>
      <c:valAx>
        <c:axId val="-2064593416"/>
        <c:scaling>
          <c:orientation val="minMax"/>
          <c:max val="20.0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s-ES"/>
          </a:p>
        </c:txPr>
        <c:crossAx val="-2064596296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lang="en-US"/>
          </a:pPr>
          <a:endParaRPr lang="es-E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% Estudios</c:v>
                </c:pt>
              </c:strCache>
            </c:strRef>
          </c:tx>
          <c:dPt>
            <c:idx val="0"/>
            <c:bubble3D val="0"/>
            <c:spPr>
              <a:solidFill>
                <a:srgbClr val="7030A0"/>
              </a:solidFill>
            </c:spPr>
          </c:dPt>
          <c:dPt>
            <c:idx val="2"/>
            <c:bubble3D val="0"/>
            <c:spPr>
              <a:solidFill>
                <a:srgbClr val="FF3300"/>
              </a:solidFill>
            </c:spPr>
          </c:dPt>
          <c:dPt>
            <c:idx val="3"/>
            <c:bubble3D val="0"/>
            <c:spPr>
              <a:solidFill>
                <a:srgbClr val="FF66CC"/>
              </a:solidFill>
            </c:spPr>
          </c:dPt>
          <c:dPt>
            <c:idx val="4"/>
            <c:bubble3D val="0"/>
            <c:spPr>
              <a:solidFill>
                <a:srgbClr val="FFFF00"/>
              </a:solidFill>
            </c:spPr>
          </c:dPt>
          <c:dPt>
            <c:idx val="9"/>
            <c:bubble3D val="0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12"/>
            <c:bubble3D val="0"/>
            <c:spPr>
              <a:solidFill>
                <a:schemeClr val="bg2">
                  <a:lumMod val="90000"/>
                </a:schemeClr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14,28%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14,28%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4,76%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4,76%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14,2%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4,76%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9,52%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4,76%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/>
                      <a:t>4,76%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/>
                      <a:t>4,76%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0"/>
              <c:layout/>
              <c:tx>
                <c:rich>
                  <a:bodyPr/>
                  <a:lstStyle/>
                  <a:p>
                    <a:r>
                      <a:rPr lang="en-US"/>
                      <a:t>4,76%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1"/>
              <c:layout/>
              <c:tx>
                <c:rich>
                  <a:bodyPr/>
                  <a:lstStyle/>
                  <a:p>
                    <a:r>
                      <a:rPr lang="en-US"/>
                      <a:t>4,76%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2"/>
              <c:layout/>
              <c:tx>
                <c:rich>
                  <a:bodyPr/>
                  <a:lstStyle/>
                  <a:p>
                    <a:r>
                      <a:rPr lang="en-US"/>
                      <a:t>19,04%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lang="en-US"/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Hoja1!$A$2:$A$14</c:f>
              <c:strCache>
                <c:ptCount val="13"/>
                <c:pt idx="0">
                  <c:v>Antidiarreicos</c:v>
                </c:pt>
                <c:pt idx="1">
                  <c:v>Laxante</c:v>
                </c:pt>
                <c:pt idx="2">
                  <c:v>Analgésico</c:v>
                </c:pt>
                <c:pt idx="3">
                  <c:v>Procinético</c:v>
                </c:pt>
                <c:pt idx="4">
                  <c:v>Antidepresivo</c:v>
                </c:pt>
                <c:pt idx="5">
                  <c:v>Analéptico</c:v>
                </c:pt>
                <c:pt idx="6">
                  <c:v>Antiespasmódico</c:v>
                </c:pt>
                <c:pt idx="7">
                  <c:v>Protector estomacal</c:v>
                </c:pt>
                <c:pt idx="8">
                  <c:v>Anticonvulsivo</c:v>
                </c:pt>
                <c:pt idx="9">
                  <c:v>Hipnótico</c:v>
                </c:pt>
                <c:pt idx="10">
                  <c:v>Probióticos</c:v>
                </c:pt>
                <c:pt idx="11">
                  <c:v>Hipnoterapia</c:v>
                </c:pt>
                <c:pt idx="12">
                  <c:v>N/E</c:v>
                </c:pt>
              </c:strCache>
            </c:strRef>
          </c:cat>
          <c:val>
            <c:numRef>
              <c:f>Hoja1!$B$2:$B$14</c:f>
              <c:numCache>
                <c:formatCode>General</c:formatCode>
                <c:ptCount val="13"/>
                <c:pt idx="0">
                  <c:v>14.28</c:v>
                </c:pt>
                <c:pt idx="1">
                  <c:v>14.28</c:v>
                </c:pt>
                <c:pt idx="2">
                  <c:v>4.76</c:v>
                </c:pt>
                <c:pt idx="3">
                  <c:v>4.76</c:v>
                </c:pt>
                <c:pt idx="4">
                  <c:v>14.28</c:v>
                </c:pt>
                <c:pt idx="5">
                  <c:v>4.76</c:v>
                </c:pt>
                <c:pt idx="6">
                  <c:v>9.52</c:v>
                </c:pt>
                <c:pt idx="7">
                  <c:v>4.76</c:v>
                </c:pt>
                <c:pt idx="8">
                  <c:v>4.76</c:v>
                </c:pt>
                <c:pt idx="9">
                  <c:v>4.76</c:v>
                </c:pt>
                <c:pt idx="10">
                  <c:v>4.76</c:v>
                </c:pt>
                <c:pt idx="11">
                  <c:v>4.76</c:v>
                </c:pt>
                <c:pt idx="12">
                  <c:v>19.04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t"/>
      <c:layout>
        <c:manualLayout>
          <c:xMode val="edge"/>
          <c:yMode val="edge"/>
          <c:x val="0.0914710812703604"/>
          <c:y val="0.0902468342492511"/>
          <c:w val="0.844160643524475"/>
          <c:h val="0.287208955576514"/>
        </c:manualLayout>
      </c:layout>
      <c:overlay val="0"/>
      <c:txPr>
        <a:bodyPr/>
        <a:lstStyle/>
        <a:p>
          <a:pPr>
            <a:defRPr lang="en-US"/>
          </a:pPr>
          <a:endParaRPr lang="es-ES"/>
        </a:p>
      </c:txPr>
    </c:legend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</Words>
  <Characters>331</Characters>
  <Application>Microsoft Macintosh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Ignacio Jáuregui Lobera</cp:lastModifiedBy>
  <cp:revision>2</cp:revision>
  <dcterms:created xsi:type="dcterms:W3CDTF">2017-07-08T15:06:00Z</dcterms:created>
  <dcterms:modified xsi:type="dcterms:W3CDTF">2017-07-08T15:06:00Z</dcterms:modified>
</cp:coreProperties>
</file>