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AD" w:rsidRPr="006115BC" w:rsidRDefault="007C45AD" w:rsidP="005B25E7">
      <w:pPr>
        <w:spacing w:line="360" w:lineRule="auto"/>
        <w:jc w:val="center"/>
        <w:rPr>
          <w:bCs/>
          <w:lang w:val="en-US"/>
        </w:rPr>
      </w:pPr>
      <w:bookmarkStart w:id="0" w:name="_GoBack"/>
      <w:bookmarkEnd w:id="0"/>
    </w:p>
    <w:p w:rsidR="007C45AD" w:rsidRPr="006115BC" w:rsidRDefault="00AB45A4" w:rsidP="005B25E7">
      <w:pPr>
        <w:spacing w:line="360" w:lineRule="auto"/>
        <w:jc w:val="center"/>
        <w:rPr>
          <w:bCs/>
          <w:lang w:val="en-US"/>
        </w:rPr>
      </w:pPr>
      <w:r w:rsidRPr="006115BC">
        <w:rPr>
          <w:noProof/>
        </w:rPr>
        <w:drawing>
          <wp:inline distT="0" distB="0" distL="0" distR="0" wp14:anchorId="3251009F" wp14:editId="689196F8">
            <wp:extent cx="4804913" cy="292435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45A4" w:rsidRPr="006115BC" w:rsidRDefault="00AB45A4" w:rsidP="007C45AD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C45AD" w:rsidRPr="00570FE5" w:rsidRDefault="006B2143" w:rsidP="00570FE5">
      <w:pPr>
        <w:spacing w:line="360" w:lineRule="auto"/>
        <w:ind w:left="142" w:right="707"/>
        <w:jc w:val="both"/>
        <w:rPr>
          <w:rFonts w:ascii="Arial Narrow" w:hAnsi="Arial Narrow" w:cs="Arial"/>
          <w:lang w:val="en-US"/>
        </w:rPr>
      </w:pPr>
      <w:r w:rsidRPr="006115BC">
        <w:rPr>
          <w:rFonts w:ascii="Arial Narrow" w:hAnsi="Arial Narrow" w:cs="Arial"/>
          <w:b/>
          <w:lang w:val="en-US"/>
        </w:rPr>
        <w:t>Fig</w:t>
      </w:r>
      <w:r w:rsidR="004F2261" w:rsidRPr="006115BC">
        <w:rPr>
          <w:rFonts w:ascii="Arial Narrow" w:hAnsi="Arial Narrow" w:cs="Arial"/>
          <w:b/>
          <w:lang w:val="en-US"/>
        </w:rPr>
        <w:t>.</w:t>
      </w:r>
      <w:r w:rsidRPr="006115BC">
        <w:rPr>
          <w:rFonts w:ascii="Arial Narrow" w:hAnsi="Arial Narrow" w:cs="Arial"/>
          <w:b/>
          <w:lang w:val="en-US"/>
        </w:rPr>
        <w:t xml:space="preserve"> 2</w:t>
      </w:r>
      <w:r w:rsidRPr="006115BC">
        <w:rPr>
          <w:rFonts w:ascii="Arial Narrow" w:hAnsi="Arial Narrow" w:cs="Arial"/>
          <w:lang w:val="en-US"/>
        </w:rPr>
        <w:t xml:space="preserve"> </w:t>
      </w:r>
      <w:r w:rsidR="007C45AD" w:rsidRPr="006115BC">
        <w:rPr>
          <w:rFonts w:ascii="Arial Narrow" w:hAnsi="Arial Narrow" w:cs="Arial"/>
          <w:lang w:val="en-US"/>
        </w:rPr>
        <w:t xml:space="preserve">Percentage of adolescents following </w:t>
      </w:r>
      <w:r w:rsidR="00143C41" w:rsidRPr="006115BC">
        <w:rPr>
          <w:rFonts w:ascii="Arial Narrow" w:hAnsi="Arial Narrow" w:cs="Arial"/>
          <w:lang w:val="en-US"/>
        </w:rPr>
        <w:t xml:space="preserve">or not </w:t>
      </w:r>
      <w:r w:rsidR="00F30309" w:rsidRPr="006115BC">
        <w:rPr>
          <w:rFonts w:ascii="Arial Narrow" w:hAnsi="Arial Narrow" w:cs="Arial"/>
          <w:lang w:val="en-US"/>
        </w:rPr>
        <w:t xml:space="preserve">following </w:t>
      </w:r>
      <w:r w:rsidR="00143C41" w:rsidRPr="006115BC">
        <w:rPr>
          <w:rFonts w:ascii="Arial Narrow" w:hAnsi="Arial Narrow" w:cs="Arial"/>
          <w:lang w:val="en-US"/>
        </w:rPr>
        <w:t>recommended dietary intakes</w:t>
      </w:r>
      <w:r w:rsidR="009051B6" w:rsidRPr="006115BC">
        <w:rPr>
          <w:rFonts w:ascii="Arial Narrow" w:hAnsi="Arial Narrow" w:cs="Arial"/>
          <w:lang w:val="en-US"/>
        </w:rPr>
        <w:t xml:space="preserve"> (RDI)</w:t>
      </w:r>
      <w:r w:rsidR="00143C41" w:rsidRPr="006115BC">
        <w:rPr>
          <w:rFonts w:ascii="Arial Narrow" w:hAnsi="Arial Narrow" w:cs="Arial"/>
          <w:lang w:val="en-US"/>
        </w:rPr>
        <w:t xml:space="preserve"> of mineral and vitamins </w:t>
      </w:r>
      <w:r w:rsidR="009051B6" w:rsidRPr="006115BC">
        <w:rPr>
          <w:rFonts w:ascii="Arial Narrow" w:hAnsi="Arial Narrow" w:cs="Arial"/>
          <w:lang w:val="en-US"/>
        </w:rPr>
        <w:t>according to [</w:t>
      </w:r>
      <w:r w:rsidR="00BF6813" w:rsidRPr="006115BC">
        <w:rPr>
          <w:rFonts w:ascii="Arial Narrow" w:hAnsi="Arial Narrow" w:cs="Arial"/>
          <w:lang w:val="en-US"/>
        </w:rPr>
        <w:t>5</w:t>
      </w:r>
      <w:r w:rsidR="00F7477F" w:rsidRPr="006115BC">
        <w:rPr>
          <w:rFonts w:ascii="Arial Narrow" w:hAnsi="Arial Narrow" w:cs="Arial"/>
          <w:lang w:val="en-US"/>
        </w:rPr>
        <w:t>1</w:t>
      </w:r>
      <w:r w:rsidR="009051B6" w:rsidRPr="006115BC">
        <w:rPr>
          <w:rFonts w:ascii="Arial Narrow" w:hAnsi="Arial Narrow" w:cs="Arial"/>
          <w:lang w:val="en-US"/>
        </w:rPr>
        <w:t xml:space="preserve">] </w:t>
      </w:r>
      <w:r w:rsidR="00AB45A4" w:rsidRPr="006115BC">
        <w:rPr>
          <w:rFonts w:ascii="Arial Narrow" w:hAnsi="Arial Narrow" w:cs="Arial"/>
          <w:lang w:val="en-US"/>
        </w:rPr>
        <w:sym w:font="Symbol" w:char="F08C"/>
      </w:r>
      <w:r w:rsidR="00AB45A4" w:rsidRPr="006115BC">
        <w:rPr>
          <w:rFonts w:ascii="Arial Narrow" w:hAnsi="Arial Narrow" w:cs="Arial"/>
          <w:lang w:val="en-US"/>
        </w:rPr>
        <w:t xml:space="preserve"> low intake (&lt;70% RDI); </w:t>
      </w:r>
      <w:r w:rsidR="00AB45A4" w:rsidRPr="006115BC">
        <w:rPr>
          <w:rFonts w:ascii="Arial Narrow" w:hAnsi="Arial Narrow" w:cs="Arial"/>
          <w:lang w:val="en-US"/>
        </w:rPr>
        <w:sym w:font="Symbol" w:char="F08C"/>
      </w:r>
      <w:r w:rsidR="00AB45A4" w:rsidRPr="006115BC">
        <w:rPr>
          <w:rFonts w:ascii="Arial Narrow" w:hAnsi="Arial Narrow" w:cs="Arial"/>
          <w:lang w:val="en-US"/>
        </w:rPr>
        <w:t xml:space="preserve"> adequate (70-100% RDI), </w:t>
      </w:r>
      <w:r w:rsidR="00AB45A4" w:rsidRPr="006115BC">
        <w:rPr>
          <w:rFonts w:ascii="Arial Narrow" w:hAnsi="Arial Narrow" w:cs="Arial"/>
          <w:lang w:val="en-US"/>
        </w:rPr>
        <w:sym w:font="Symbol" w:char="F08C"/>
      </w:r>
      <w:r w:rsidR="00AB45A4" w:rsidRPr="006115BC">
        <w:rPr>
          <w:rFonts w:ascii="Arial Narrow" w:hAnsi="Arial Narrow" w:cs="Arial"/>
          <w:lang w:val="en-US"/>
        </w:rPr>
        <w:t xml:space="preserve"> high intake (&gt;100% RDI).</w:t>
      </w:r>
    </w:p>
    <w:p w:rsidR="006B2143" w:rsidRPr="005A2E3C" w:rsidRDefault="006B2143" w:rsidP="00570FE5">
      <w:pPr>
        <w:spacing w:line="360" w:lineRule="auto"/>
        <w:jc w:val="both"/>
        <w:rPr>
          <w:bCs/>
          <w:lang w:val="en-US"/>
        </w:rPr>
      </w:pPr>
    </w:p>
    <w:sectPr w:rsidR="006B2143" w:rsidRPr="005A2E3C" w:rsidSect="001361BD">
      <w:head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34" w:rsidRDefault="00596E34" w:rsidP="002C63ED">
      <w:r>
        <w:separator/>
      </w:r>
    </w:p>
  </w:endnote>
  <w:endnote w:type="continuationSeparator" w:id="0">
    <w:p w:rsidR="00596E34" w:rsidRDefault="00596E34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34" w:rsidRDefault="00596E34" w:rsidP="002C63ED">
      <w:r>
        <w:separator/>
      </w:r>
    </w:p>
  </w:footnote>
  <w:footnote w:type="continuationSeparator" w:id="0">
    <w:p w:rsidR="00596E34" w:rsidRDefault="00596E34" w:rsidP="002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844164"/>
      <w:docPartObj>
        <w:docPartGallery w:val="Page Numbers (Top of Page)"/>
        <w:docPartUnique/>
      </w:docPartObj>
    </w:sdtPr>
    <w:sdtEndPr/>
    <w:sdtContent>
      <w:p w:rsidR="00277D1C" w:rsidRDefault="00412C3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A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D1C" w:rsidRDefault="00277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96E34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3CB3"/>
    <w:rsid w:val="008C0CC5"/>
    <w:rsid w:val="008C16AD"/>
    <w:rsid w:val="008C1941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2A4D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121212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Micronutrientes!$B$1:$V$1</c:f>
              <c:strCache>
                <c:ptCount val="21"/>
                <c:pt idx="0">
                  <c:v>Calcium</c:v>
                </c:pt>
                <c:pt idx="1">
                  <c:v>Phosphorus</c:v>
                </c:pt>
                <c:pt idx="2">
                  <c:v>Magnesium</c:v>
                </c:pt>
                <c:pt idx="3">
                  <c:v>Iron</c:v>
                </c:pt>
                <c:pt idx="4">
                  <c:v>Zinc</c:v>
                </c:pt>
                <c:pt idx="5">
                  <c:v>Iodine</c:v>
                </c:pt>
                <c:pt idx="6">
                  <c:v>Fluoride</c:v>
                </c:pt>
                <c:pt idx="7">
                  <c:v>Selenium</c:v>
                </c:pt>
                <c:pt idx="8">
                  <c:v>Vitamin B1</c:v>
                </c:pt>
                <c:pt idx="9">
                  <c:v>Vitamin B2</c:v>
                </c:pt>
                <c:pt idx="10">
                  <c:v>Vitamin B6</c:v>
                </c:pt>
                <c:pt idx="11">
                  <c:v>Vitamin B12</c:v>
                </c:pt>
                <c:pt idx="12">
                  <c:v>Niacin</c:v>
                </c:pt>
                <c:pt idx="13">
                  <c:v>Folates</c:v>
                </c:pt>
                <c:pt idx="14">
                  <c:v>Vitamin C</c:v>
                </c:pt>
                <c:pt idx="15">
                  <c:v>Pantotenic</c:v>
                </c:pt>
                <c:pt idx="16">
                  <c:v>Biotin</c:v>
                </c:pt>
                <c:pt idx="17">
                  <c:v>Vitamin A</c:v>
                </c:pt>
                <c:pt idx="18">
                  <c:v>Vitamin D</c:v>
                </c:pt>
                <c:pt idx="19">
                  <c:v>Vitamin E</c:v>
                </c:pt>
                <c:pt idx="20">
                  <c:v>Vitamin K</c:v>
                </c:pt>
              </c:strCache>
            </c:strRef>
          </c:cat>
          <c:val>
            <c:numRef>
              <c:f>Micronutrientes!$B$2:$V$2</c:f>
              <c:numCache>
                <c:formatCode>General</c:formatCode>
                <c:ptCount val="21"/>
                <c:pt idx="0">
                  <c:v>2</c:v>
                </c:pt>
                <c:pt idx="1">
                  <c:v>2</c:v>
                </c:pt>
                <c:pt idx="2">
                  <c:v>49</c:v>
                </c:pt>
                <c:pt idx="3">
                  <c:v>14</c:v>
                </c:pt>
                <c:pt idx="4">
                  <c:v>38</c:v>
                </c:pt>
                <c:pt idx="5">
                  <c:v>94</c:v>
                </c:pt>
                <c:pt idx="6">
                  <c:v>2</c:v>
                </c:pt>
                <c:pt idx="7">
                  <c:v>6</c:v>
                </c:pt>
                <c:pt idx="8">
                  <c:v>2</c:v>
                </c:pt>
                <c:pt idx="9">
                  <c:v>32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44</c:v>
                </c:pt>
                <c:pt idx="14">
                  <c:v>8</c:v>
                </c:pt>
                <c:pt idx="15">
                  <c:v>11</c:v>
                </c:pt>
                <c:pt idx="16">
                  <c:v>17</c:v>
                </c:pt>
                <c:pt idx="17">
                  <c:v>50</c:v>
                </c:pt>
                <c:pt idx="18">
                  <c:v>85</c:v>
                </c:pt>
                <c:pt idx="19">
                  <c:v>56</c:v>
                </c:pt>
                <c:pt idx="20">
                  <c:v>24</c:v>
                </c:pt>
              </c:numCache>
            </c:numRef>
          </c:val>
        </c:ser>
        <c:ser>
          <c:idx val="1"/>
          <c:order val="1"/>
          <c:spPr>
            <a:solidFill>
              <a:sysClr val="window" lastClr="FFFFFF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Micronutrientes!$B$1:$V$1</c:f>
              <c:strCache>
                <c:ptCount val="21"/>
                <c:pt idx="0">
                  <c:v>Calcium</c:v>
                </c:pt>
                <c:pt idx="1">
                  <c:v>Phosphorus</c:v>
                </c:pt>
                <c:pt idx="2">
                  <c:v>Magnesium</c:v>
                </c:pt>
                <c:pt idx="3">
                  <c:v>Iron</c:v>
                </c:pt>
                <c:pt idx="4">
                  <c:v>Zinc</c:v>
                </c:pt>
                <c:pt idx="5">
                  <c:v>Iodine</c:v>
                </c:pt>
                <c:pt idx="6">
                  <c:v>Fluoride</c:v>
                </c:pt>
                <c:pt idx="7">
                  <c:v>Selenium</c:v>
                </c:pt>
                <c:pt idx="8">
                  <c:v>Vitamin B1</c:v>
                </c:pt>
                <c:pt idx="9">
                  <c:v>Vitamin B2</c:v>
                </c:pt>
                <c:pt idx="10">
                  <c:v>Vitamin B6</c:v>
                </c:pt>
                <c:pt idx="11">
                  <c:v>Vitamin B12</c:v>
                </c:pt>
                <c:pt idx="12">
                  <c:v>Niacin</c:v>
                </c:pt>
                <c:pt idx="13">
                  <c:v>Folates</c:v>
                </c:pt>
                <c:pt idx="14">
                  <c:v>Vitamin C</c:v>
                </c:pt>
                <c:pt idx="15">
                  <c:v>Pantotenic</c:v>
                </c:pt>
                <c:pt idx="16">
                  <c:v>Biotin</c:v>
                </c:pt>
                <c:pt idx="17">
                  <c:v>Vitamin A</c:v>
                </c:pt>
                <c:pt idx="18">
                  <c:v>Vitamin D</c:v>
                </c:pt>
                <c:pt idx="19">
                  <c:v>Vitamin E</c:v>
                </c:pt>
                <c:pt idx="20">
                  <c:v>Vitamin K</c:v>
                </c:pt>
              </c:strCache>
            </c:strRef>
          </c:cat>
          <c:val>
            <c:numRef>
              <c:f>Micronutrientes!$B$3:$V$3</c:f>
              <c:numCache>
                <c:formatCode>General</c:formatCode>
                <c:ptCount val="21"/>
                <c:pt idx="0">
                  <c:v>25</c:v>
                </c:pt>
                <c:pt idx="1">
                  <c:v>96</c:v>
                </c:pt>
                <c:pt idx="2">
                  <c:v>49</c:v>
                </c:pt>
                <c:pt idx="3">
                  <c:v>86</c:v>
                </c:pt>
                <c:pt idx="4">
                  <c:v>58</c:v>
                </c:pt>
                <c:pt idx="5">
                  <c:v>6</c:v>
                </c:pt>
                <c:pt idx="6">
                  <c:v>98</c:v>
                </c:pt>
                <c:pt idx="7">
                  <c:v>94</c:v>
                </c:pt>
                <c:pt idx="8">
                  <c:v>98</c:v>
                </c:pt>
                <c:pt idx="9">
                  <c:v>66</c:v>
                </c:pt>
                <c:pt idx="10">
                  <c:v>98</c:v>
                </c:pt>
                <c:pt idx="11">
                  <c:v>98</c:v>
                </c:pt>
                <c:pt idx="12">
                  <c:v>98</c:v>
                </c:pt>
                <c:pt idx="13">
                  <c:v>43</c:v>
                </c:pt>
                <c:pt idx="14">
                  <c:v>92</c:v>
                </c:pt>
                <c:pt idx="15">
                  <c:v>89</c:v>
                </c:pt>
                <c:pt idx="16">
                  <c:v>81</c:v>
                </c:pt>
                <c:pt idx="17">
                  <c:v>47</c:v>
                </c:pt>
                <c:pt idx="18">
                  <c:v>13</c:v>
                </c:pt>
                <c:pt idx="19">
                  <c:v>41</c:v>
                </c:pt>
                <c:pt idx="20">
                  <c:v>73</c:v>
                </c:pt>
              </c:numCache>
            </c:numRef>
          </c:val>
        </c:ser>
        <c:ser>
          <c:idx val="2"/>
          <c:order val="2"/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Micronutrientes!$B$1:$V$1</c:f>
              <c:strCache>
                <c:ptCount val="21"/>
                <c:pt idx="0">
                  <c:v>Calcium</c:v>
                </c:pt>
                <c:pt idx="1">
                  <c:v>Phosphorus</c:v>
                </c:pt>
                <c:pt idx="2">
                  <c:v>Magnesium</c:v>
                </c:pt>
                <c:pt idx="3">
                  <c:v>Iron</c:v>
                </c:pt>
                <c:pt idx="4">
                  <c:v>Zinc</c:v>
                </c:pt>
                <c:pt idx="5">
                  <c:v>Iodine</c:v>
                </c:pt>
                <c:pt idx="6">
                  <c:v>Fluoride</c:v>
                </c:pt>
                <c:pt idx="7">
                  <c:v>Selenium</c:v>
                </c:pt>
                <c:pt idx="8">
                  <c:v>Vitamin B1</c:v>
                </c:pt>
                <c:pt idx="9">
                  <c:v>Vitamin B2</c:v>
                </c:pt>
                <c:pt idx="10">
                  <c:v>Vitamin B6</c:v>
                </c:pt>
                <c:pt idx="11">
                  <c:v>Vitamin B12</c:v>
                </c:pt>
                <c:pt idx="12">
                  <c:v>Niacin</c:v>
                </c:pt>
                <c:pt idx="13">
                  <c:v>Folates</c:v>
                </c:pt>
                <c:pt idx="14">
                  <c:v>Vitamin C</c:v>
                </c:pt>
                <c:pt idx="15">
                  <c:v>Pantotenic</c:v>
                </c:pt>
                <c:pt idx="16">
                  <c:v>Biotin</c:v>
                </c:pt>
                <c:pt idx="17">
                  <c:v>Vitamin A</c:v>
                </c:pt>
                <c:pt idx="18">
                  <c:v>Vitamin D</c:v>
                </c:pt>
                <c:pt idx="19">
                  <c:v>Vitamin E</c:v>
                </c:pt>
                <c:pt idx="20">
                  <c:v>Vitamin K</c:v>
                </c:pt>
              </c:strCache>
            </c:strRef>
          </c:cat>
          <c:val>
            <c:numRef>
              <c:f>Micronutrientes!$B$4:$V$4</c:f>
              <c:numCache>
                <c:formatCode>General</c:formatCode>
                <c:ptCount val="21"/>
                <c:pt idx="0">
                  <c:v>73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13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19">
                  <c:v>3</c:v>
                </c:pt>
                <c:pt idx="2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8018176"/>
        <c:axId val="163873152"/>
      </c:barChart>
      <c:catAx>
        <c:axId val="158018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63873152"/>
        <c:crosses val="autoZero"/>
        <c:auto val="1"/>
        <c:lblAlgn val="ctr"/>
        <c:lblOffset val="100"/>
        <c:noMultiLvlLbl val="0"/>
      </c:catAx>
      <c:valAx>
        <c:axId val="1638731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8018176"/>
        <c:crosses val="autoZero"/>
        <c:crossBetween val="between"/>
        <c:majorUnit val="0.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9A18-A3F9-48AB-A18C-CD3A7527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2</cp:revision>
  <cp:lastPrinted>2014-12-02T16:26:00Z</cp:lastPrinted>
  <dcterms:created xsi:type="dcterms:W3CDTF">2016-04-05T12:31:00Z</dcterms:created>
  <dcterms:modified xsi:type="dcterms:W3CDTF">2016-04-05T12:31:00Z</dcterms:modified>
</cp:coreProperties>
</file>